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EC5E" w14:textId="107B015D" w:rsidR="00BB0295" w:rsidRDefault="00BB0295" w:rsidP="000C5287">
      <w:pPr>
        <w:jc w:val="center"/>
        <w:rPr>
          <w:rFonts w:ascii="Arial" w:hAnsi="Arial" w:cs="Arial"/>
        </w:rPr>
      </w:pPr>
      <w:r>
        <w:rPr>
          <w:rFonts w:ascii="Arial" w:hAnsi="Arial" w:cs="Arial"/>
          <w:noProof/>
        </w:rPr>
        <w:drawing>
          <wp:inline distT="0" distB="0" distL="0" distR="0" wp14:anchorId="59F00F3F" wp14:editId="1AB73942">
            <wp:extent cx="3476625" cy="11819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RA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88925" cy="1186086"/>
                    </a:xfrm>
                    <a:prstGeom prst="rect">
                      <a:avLst/>
                    </a:prstGeom>
                  </pic:spPr>
                </pic:pic>
              </a:graphicData>
            </a:graphic>
          </wp:inline>
        </w:drawing>
      </w:r>
    </w:p>
    <w:p w14:paraId="242DA9E7" w14:textId="77777777" w:rsidR="00BB0295" w:rsidRDefault="00BB0295" w:rsidP="000C5287">
      <w:pPr>
        <w:jc w:val="center"/>
        <w:rPr>
          <w:rFonts w:ascii="Arial" w:hAnsi="Arial" w:cs="Arial"/>
        </w:rPr>
      </w:pPr>
    </w:p>
    <w:p w14:paraId="36B48992" w14:textId="77777777" w:rsidR="00BB0295" w:rsidRDefault="00BB0295" w:rsidP="000C5287">
      <w:pPr>
        <w:jc w:val="center"/>
        <w:rPr>
          <w:rFonts w:ascii="Arial" w:hAnsi="Arial" w:cs="Arial"/>
        </w:rPr>
      </w:pPr>
    </w:p>
    <w:p w14:paraId="4B73F886" w14:textId="77777777" w:rsidR="00BB0295" w:rsidRDefault="00BB0295" w:rsidP="00BB0295">
      <w:pPr>
        <w:rPr>
          <w:rFonts w:ascii="Arial" w:hAnsi="Arial" w:cs="Arial"/>
        </w:rPr>
      </w:pPr>
    </w:p>
    <w:p w14:paraId="37BD3D6E" w14:textId="7EBC2591" w:rsidR="000C5287" w:rsidRPr="00BB0295" w:rsidRDefault="000C5287" w:rsidP="000C5287">
      <w:pPr>
        <w:jc w:val="center"/>
        <w:rPr>
          <w:rFonts w:ascii="Arial" w:hAnsi="Arial" w:cs="Arial"/>
          <w:b/>
          <w:sz w:val="40"/>
          <w:szCs w:val="40"/>
        </w:rPr>
      </w:pPr>
      <w:r w:rsidRPr="00BB0295">
        <w:rPr>
          <w:rFonts w:ascii="Arial" w:hAnsi="Arial" w:cs="Arial"/>
          <w:b/>
          <w:sz w:val="40"/>
          <w:szCs w:val="40"/>
        </w:rPr>
        <w:t>Budget 202</w:t>
      </w:r>
      <w:r w:rsidR="00541D28" w:rsidRPr="00BB0295">
        <w:rPr>
          <w:rFonts w:ascii="Arial" w:hAnsi="Arial" w:cs="Arial"/>
          <w:b/>
          <w:sz w:val="40"/>
          <w:szCs w:val="40"/>
        </w:rPr>
        <w:t>6</w:t>
      </w:r>
      <w:r w:rsidRPr="00BB0295">
        <w:rPr>
          <w:rFonts w:ascii="Arial" w:hAnsi="Arial" w:cs="Arial"/>
          <w:b/>
          <w:sz w:val="40"/>
          <w:szCs w:val="40"/>
        </w:rPr>
        <w:t xml:space="preserve"> </w:t>
      </w:r>
      <w:r w:rsidR="00BB0295" w:rsidRPr="00BB0295">
        <w:rPr>
          <w:rFonts w:ascii="Arial" w:hAnsi="Arial" w:cs="Arial"/>
          <w:b/>
          <w:sz w:val="40"/>
          <w:szCs w:val="40"/>
        </w:rPr>
        <w:t>–</w:t>
      </w:r>
      <w:r w:rsidRPr="00BB0295">
        <w:rPr>
          <w:rFonts w:ascii="Arial" w:hAnsi="Arial" w:cs="Arial"/>
          <w:b/>
          <w:sz w:val="40"/>
          <w:szCs w:val="40"/>
        </w:rPr>
        <w:t xml:space="preserve"> 202</w:t>
      </w:r>
      <w:r w:rsidR="00541D28" w:rsidRPr="00BB0295">
        <w:rPr>
          <w:rFonts w:ascii="Arial" w:hAnsi="Arial" w:cs="Arial"/>
          <w:b/>
          <w:sz w:val="40"/>
          <w:szCs w:val="40"/>
        </w:rPr>
        <w:t>7</w:t>
      </w:r>
    </w:p>
    <w:p w14:paraId="00798CB7" w14:textId="12FA3566" w:rsidR="00BB0295" w:rsidRDefault="00BB0295" w:rsidP="000C5287">
      <w:pPr>
        <w:jc w:val="center"/>
        <w:rPr>
          <w:rFonts w:ascii="Arial" w:hAnsi="Arial" w:cs="Arial"/>
        </w:rPr>
      </w:pPr>
    </w:p>
    <w:p w14:paraId="23DF3823" w14:textId="77777777" w:rsidR="00BB0295" w:rsidRPr="003A494F" w:rsidRDefault="00BB0295" w:rsidP="000C5287">
      <w:pPr>
        <w:jc w:val="center"/>
        <w:rPr>
          <w:rFonts w:ascii="Arial" w:hAnsi="Arial" w:cs="Arial"/>
          <w:vanish/>
          <w:specVanish/>
        </w:rPr>
      </w:pPr>
    </w:p>
    <w:p w14:paraId="71EA8936" w14:textId="50463C11" w:rsidR="000C5287" w:rsidRDefault="000C5287" w:rsidP="000C5287">
      <w:pPr>
        <w:rPr>
          <w:rFonts w:ascii="Arial" w:hAnsi="Arial" w:cs="Arial"/>
        </w:rPr>
      </w:pPr>
      <w:r>
        <w:rPr>
          <w:rFonts w:ascii="Arial" w:hAnsi="Arial" w:cs="Arial"/>
        </w:rPr>
        <w:t xml:space="preserve"> </w:t>
      </w:r>
    </w:p>
    <w:p w14:paraId="4D9EDE2B" w14:textId="3BD721D8" w:rsidR="000C5287" w:rsidRDefault="000C5287" w:rsidP="000C5287">
      <w:pPr>
        <w:rPr>
          <w:rFonts w:ascii="Arial" w:hAnsi="Arial" w:cs="Arial"/>
        </w:rPr>
      </w:pPr>
      <w:r>
        <w:rPr>
          <w:rFonts w:ascii="Arial" w:hAnsi="Arial" w:cs="Arial"/>
        </w:rPr>
        <w:t>August 202</w:t>
      </w:r>
      <w:r w:rsidR="00541D28">
        <w:rPr>
          <w:rFonts w:ascii="Arial" w:hAnsi="Arial" w:cs="Arial"/>
        </w:rPr>
        <w:t>5</w:t>
      </w:r>
    </w:p>
    <w:p w14:paraId="62BDF3B5" w14:textId="77777777" w:rsidR="000C5287" w:rsidRDefault="000C5287" w:rsidP="000C5287">
      <w:pPr>
        <w:rPr>
          <w:rFonts w:ascii="Arial" w:hAnsi="Arial" w:cs="Arial"/>
        </w:rPr>
      </w:pPr>
    </w:p>
    <w:p w14:paraId="2C3B49A9" w14:textId="77777777" w:rsidR="000C5287" w:rsidRDefault="000C5287" w:rsidP="000C5287">
      <w:pPr>
        <w:rPr>
          <w:rFonts w:ascii="Arial" w:hAnsi="Arial" w:cs="Arial"/>
        </w:rPr>
      </w:pPr>
      <w:r>
        <w:rPr>
          <w:rFonts w:ascii="Arial" w:hAnsi="Arial" w:cs="Arial"/>
        </w:rPr>
        <w:t>The National Oilheat Research Alliance Act of 2000 (Public Law 106-469) as amended by P.L. 113-79 requires the National Oilheat Research Alliance (the Alliance) to publish a biennial budget for public comment before August 1</w:t>
      </w:r>
      <w:r>
        <w:rPr>
          <w:rFonts w:ascii="Arial" w:hAnsi="Arial" w:cs="Arial"/>
          <w:vertAlign w:val="superscript"/>
        </w:rPr>
        <w:t>st</w:t>
      </w:r>
      <w:r>
        <w:rPr>
          <w:rFonts w:ascii="Arial" w:hAnsi="Arial" w:cs="Arial"/>
        </w:rPr>
        <w:t xml:space="preserve"> of 2014 and every two years thereafter.  That budget shall include the probable costs of all programs, projects, and contracts and other agreements.</w:t>
      </w:r>
    </w:p>
    <w:p w14:paraId="7985A93D" w14:textId="77777777" w:rsidR="000C5287" w:rsidRDefault="000C5287" w:rsidP="000C5287">
      <w:pPr>
        <w:rPr>
          <w:rFonts w:ascii="Arial" w:hAnsi="Arial" w:cs="Arial"/>
        </w:rPr>
      </w:pPr>
    </w:p>
    <w:p w14:paraId="17BA88FE" w14:textId="77777777" w:rsidR="000C5287" w:rsidRDefault="000C5287" w:rsidP="000C5287">
      <w:pPr>
        <w:rPr>
          <w:rFonts w:ascii="Arial" w:hAnsi="Arial" w:cs="Arial"/>
        </w:rPr>
      </w:pPr>
      <w:r>
        <w:rPr>
          <w:rFonts w:ascii="Arial" w:hAnsi="Arial" w:cs="Arial"/>
        </w:rPr>
        <w:t>Following public review and comment, the Alliance is required to submit a proposed budget to the Secretary of Energy and to the Congress.</w:t>
      </w:r>
    </w:p>
    <w:p w14:paraId="6A262740" w14:textId="77777777" w:rsidR="000C5287" w:rsidRDefault="000C5287" w:rsidP="000C5287">
      <w:pPr>
        <w:rPr>
          <w:rFonts w:ascii="Arial" w:hAnsi="Arial" w:cs="Arial"/>
          <w:b/>
          <w:bCs/>
          <w:i/>
          <w:iCs/>
          <w:u w:val="single"/>
        </w:rPr>
      </w:pPr>
    </w:p>
    <w:p w14:paraId="54BCBE2E" w14:textId="77777777" w:rsidR="000C5287" w:rsidRDefault="000C5287" w:rsidP="000C5287">
      <w:pPr>
        <w:rPr>
          <w:rFonts w:ascii="Arial" w:hAnsi="Arial" w:cs="Arial"/>
        </w:rPr>
      </w:pPr>
      <w:r>
        <w:rPr>
          <w:rFonts w:ascii="Arial" w:hAnsi="Arial" w:cs="Arial"/>
          <w:b/>
          <w:bCs/>
          <w:i/>
          <w:iCs/>
          <w:u w:val="single"/>
        </w:rPr>
        <w:t>Part I. Assessment Rate and Income</w:t>
      </w:r>
    </w:p>
    <w:p w14:paraId="67D8D52F" w14:textId="77777777" w:rsidR="000C5287" w:rsidRDefault="000C5287" w:rsidP="000C5287">
      <w:pPr>
        <w:rPr>
          <w:rFonts w:ascii="Arial" w:hAnsi="Arial" w:cs="Arial"/>
        </w:rPr>
      </w:pPr>
    </w:p>
    <w:p w14:paraId="04774A30" w14:textId="77777777" w:rsidR="000C5287" w:rsidRDefault="000C5287" w:rsidP="000C5287">
      <w:pPr>
        <w:rPr>
          <w:rFonts w:ascii="Arial" w:hAnsi="Arial" w:cs="Arial"/>
        </w:rPr>
      </w:pPr>
      <w:r>
        <w:rPr>
          <w:rFonts w:ascii="Arial" w:hAnsi="Arial" w:cs="Arial"/>
        </w:rPr>
        <w:t xml:space="preserve">The Alliance has one primary sources of income.  The federally authorized assessment on Oilheat sold in the states participating in NORA at $.002 per gallon.  The Alliance also receives interest income on the investment of assessment funds.  Additionally, the Alliance realizes revenue from the sale of books and other educational resources and expects to receive revenue from the provision of studies. Further, NORA periodically enters into contracts with other research organizations to conduct studies.  </w:t>
      </w:r>
    </w:p>
    <w:p w14:paraId="6F65CC4E" w14:textId="77777777" w:rsidR="000C5287" w:rsidRDefault="000C5287" w:rsidP="000C5287">
      <w:pPr>
        <w:rPr>
          <w:rFonts w:ascii="Arial" w:hAnsi="Arial" w:cs="Arial"/>
        </w:rPr>
      </w:pPr>
    </w:p>
    <w:p w14:paraId="2F5BC75F" w14:textId="77777777" w:rsidR="000C5287" w:rsidRDefault="000C5287" w:rsidP="000C5287">
      <w:pPr>
        <w:pStyle w:val="Heading4"/>
        <w:rPr>
          <w:i/>
          <w:iCs/>
        </w:rPr>
      </w:pPr>
      <w:r>
        <w:rPr>
          <w:i/>
          <w:iCs/>
        </w:rPr>
        <w:t>Assessment Collections</w:t>
      </w:r>
    </w:p>
    <w:p w14:paraId="6EFC44E0" w14:textId="77777777" w:rsidR="000C5287" w:rsidRDefault="000C5287" w:rsidP="000C5287">
      <w:pPr>
        <w:rPr>
          <w:rFonts w:ascii="Arial" w:hAnsi="Arial" w:cs="Arial"/>
        </w:rPr>
      </w:pPr>
    </w:p>
    <w:p w14:paraId="5EEB3C82" w14:textId="4FA3104C" w:rsidR="000C5287" w:rsidRDefault="000C5287" w:rsidP="000C5287">
      <w:pPr>
        <w:rPr>
          <w:rFonts w:ascii="Arial" w:hAnsi="Arial" w:cs="Arial"/>
          <w:bCs/>
        </w:rPr>
      </w:pPr>
      <w:r>
        <w:rPr>
          <w:rFonts w:ascii="Arial" w:hAnsi="Arial" w:cs="Arial"/>
        </w:rPr>
        <w:t xml:space="preserve">The Alliance estimates that revenues from assessments will be </w:t>
      </w:r>
      <w:r>
        <w:rPr>
          <w:rFonts w:ascii="Arial" w:hAnsi="Arial" w:cs="Arial"/>
          <w:b/>
          <w:bCs/>
        </w:rPr>
        <w:t>$7,</w:t>
      </w:r>
      <w:r w:rsidR="000F4427">
        <w:rPr>
          <w:rFonts w:ascii="Arial" w:hAnsi="Arial" w:cs="Arial"/>
          <w:b/>
          <w:bCs/>
        </w:rPr>
        <w:t>100</w:t>
      </w:r>
      <w:r>
        <w:rPr>
          <w:rFonts w:ascii="Arial" w:hAnsi="Arial" w:cs="Arial"/>
          <w:b/>
          <w:bCs/>
        </w:rPr>
        <w:t>,77</w:t>
      </w:r>
      <w:r w:rsidR="000F4427">
        <w:rPr>
          <w:rFonts w:ascii="Arial" w:hAnsi="Arial" w:cs="Arial"/>
          <w:b/>
          <w:bCs/>
        </w:rPr>
        <w:t>2</w:t>
      </w:r>
      <w:r>
        <w:rPr>
          <w:rFonts w:ascii="Arial" w:hAnsi="Arial" w:cs="Arial"/>
          <w:b/>
          <w:bCs/>
        </w:rPr>
        <w:t>. in 202</w:t>
      </w:r>
      <w:r w:rsidR="000F4427">
        <w:rPr>
          <w:rFonts w:ascii="Arial" w:hAnsi="Arial" w:cs="Arial"/>
          <w:b/>
          <w:bCs/>
        </w:rPr>
        <w:t>6</w:t>
      </w:r>
      <w:r>
        <w:rPr>
          <w:rFonts w:ascii="Arial" w:hAnsi="Arial" w:cs="Arial"/>
          <w:b/>
          <w:bCs/>
        </w:rPr>
        <w:t xml:space="preserve">.  </w:t>
      </w:r>
      <w:r>
        <w:rPr>
          <w:rFonts w:ascii="Arial" w:hAnsi="Arial" w:cs="Arial"/>
          <w:bCs/>
        </w:rPr>
        <w:t>Similarly, the 202</w:t>
      </w:r>
      <w:r w:rsidR="000F4427">
        <w:rPr>
          <w:rFonts w:ascii="Arial" w:hAnsi="Arial" w:cs="Arial"/>
          <w:bCs/>
        </w:rPr>
        <w:t>7</w:t>
      </w:r>
      <w:r>
        <w:rPr>
          <w:rFonts w:ascii="Arial" w:hAnsi="Arial" w:cs="Arial"/>
          <w:bCs/>
        </w:rPr>
        <w:t xml:space="preserve"> revenue from collections was placed at </w:t>
      </w:r>
      <w:r w:rsidRPr="00990CB1">
        <w:rPr>
          <w:rFonts w:ascii="Arial" w:hAnsi="Arial" w:cs="Arial"/>
          <w:b/>
          <w:bCs/>
        </w:rPr>
        <w:t>$</w:t>
      </w:r>
      <w:r w:rsidR="0073410B">
        <w:rPr>
          <w:rFonts w:ascii="Arial" w:hAnsi="Arial" w:cs="Arial"/>
          <w:b/>
          <w:bCs/>
        </w:rPr>
        <w:t>6,887,750</w:t>
      </w:r>
      <w:r>
        <w:rPr>
          <w:rFonts w:ascii="Arial" w:hAnsi="Arial" w:cs="Arial"/>
          <w:bCs/>
        </w:rPr>
        <w:t>. These calculations are based on normalizing the most recent year’s collections for weather, and then reducing by 3 percent per annum to accommodate conservation and loss of customers.  To ensure the appropriate allocations to the accounts established by Congress are in line with actual collections, NORA adjusts the rebates to the states at the conclusion of the audit.  Reductions or overages are generally made to the state rebates in the next year.  This ensures that with the central budget and the state budget, Congressional allocations are followed.</w:t>
      </w:r>
    </w:p>
    <w:p w14:paraId="017D403D" w14:textId="77777777" w:rsidR="000C5287" w:rsidRDefault="000C5287" w:rsidP="000C5287">
      <w:pPr>
        <w:rPr>
          <w:rFonts w:ascii="Arial" w:hAnsi="Arial" w:cs="Arial"/>
          <w:bCs/>
        </w:rPr>
      </w:pPr>
    </w:p>
    <w:p w14:paraId="3D16250C" w14:textId="5EC2AAA6" w:rsidR="000C5287" w:rsidRDefault="000C5287" w:rsidP="000C5287">
      <w:pPr>
        <w:rPr>
          <w:rFonts w:ascii="Arial" w:hAnsi="Arial" w:cs="Arial"/>
          <w:bCs/>
        </w:rPr>
      </w:pPr>
      <w:r>
        <w:rPr>
          <w:rFonts w:ascii="Arial" w:hAnsi="Arial" w:cs="Arial"/>
          <w:bCs/>
        </w:rPr>
        <w:lastRenderedPageBreak/>
        <w:t>The Alliance expects to receive interest of $100,000 in 202</w:t>
      </w:r>
      <w:r w:rsidR="000F4427">
        <w:rPr>
          <w:rFonts w:ascii="Arial" w:hAnsi="Arial" w:cs="Arial"/>
          <w:bCs/>
        </w:rPr>
        <w:t>6</w:t>
      </w:r>
      <w:r>
        <w:rPr>
          <w:rFonts w:ascii="Arial" w:hAnsi="Arial" w:cs="Arial"/>
          <w:bCs/>
        </w:rPr>
        <w:t xml:space="preserve"> and $</w:t>
      </w:r>
      <w:r w:rsidR="000F4427">
        <w:rPr>
          <w:rFonts w:ascii="Arial" w:hAnsi="Arial" w:cs="Arial"/>
          <w:bCs/>
        </w:rPr>
        <w:t>10</w:t>
      </w:r>
      <w:r>
        <w:rPr>
          <w:rFonts w:ascii="Arial" w:hAnsi="Arial" w:cs="Arial"/>
          <w:bCs/>
        </w:rPr>
        <w:t>0,000 in 202</w:t>
      </w:r>
      <w:r w:rsidR="000F4427">
        <w:rPr>
          <w:rFonts w:ascii="Arial" w:hAnsi="Arial" w:cs="Arial"/>
          <w:bCs/>
        </w:rPr>
        <w:t>7</w:t>
      </w:r>
      <w:r>
        <w:rPr>
          <w:rFonts w:ascii="Arial" w:hAnsi="Arial" w:cs="Arial"/>
          <w:bCs/>
        </w:rPr>
        <w:t xml:space="preserve">.  NORA expects </w:t>
      </w:r>
      <w:r w:rsidR="0073410B">
        <w:rPr>
          <w:rFonts w:ascii="Arial" w:hAnsi="Arial" w:cs="Arial"/>
          <w:bCs/>
        </w:rPr>
        <w:t>some</w:t>
      </w:r>
      <w:r>
        <w:rPr>
          <w:rFonts w:ascii="Arial" w:hAnsi="Arial" w:cs="Arial"/>
          <w:bCs/>
        </w:rPr>
        <w:t xml:space="preserve"> </w:t>
      </w:r>
      <w:r w:rsidR="0073410B">
        <w:rPr>
          <w:rFonts w:ascii="Arial" w:hAnsi="Arial" w:cs="Arial"/>
          <w:bCs/>
        </w:rPr>
        <w:t xml:space="preserve">nominal </w:t>
      </w:r>
      <w:r>
        <w:rPr>
          <w:rFonts w:ascii="Arial" w:hAnsi="Arial" w:cs="Arial"/>
          <w:bCs/>
        </w:rPr>
        <w:t>continuing revenue from book sales as the publications are now printed and distributed independently</w:t>
      </w:r>
      <w:r w:rsidR="0073410B">
        <w:rPr>
          <w:rFonts w:ascii="Arial" w:hAnsi="Arial" w:cs="Arial"/>
          <w:bCs/>
        </w:rPr>
        <w:t>.</w:t>
      </w:r>
      <w:r>
        <w:rPr>
          <w:rFonts w:ascii="Arial" w:hAnsi="Arial" w:cs="Arial"/>
          <w:bCs/>
        </w:rPr>
        <w:t xml:space="preserve">  </w:t>
      </w:r>
    </w:p>
    <w:p w14:paraId="159822BE" w14:textId="77777777" w:rsidR="000C5287" w:rsidRDefault="000C5287" w:rsidP="000C5287">
      <w:pPr>
        <w:rPr>
          <w:rFonts w:ascii="Arial" w:hAnsi="Arial" w:cs="Arial"/>
          <w:bCs/>
        </w:rPr>
      </w:pPr>
    </w:p>
    <w:p w14:paraId="087988C0" w14:textId="1BE6A9F0" w:rsidR="000C5287" w:rsidRDefault="000C5287" w:rsidP="000C5287">
      <w:pPr>
        <w:rPr>
          <w:rFonts w:ascii="Arial" w:hAnsi="Arial" w:cs="Arial"/>
          <w:bCs/>
        </w:rPr>
      </w:pPr>
      <w:r>
        <w:rPr>
          <w:rFonts w:ascii="Arial" w:hAnsi="Arial" w:cs="Arial"/>
          <w:bCs/>
        </w:rPr>
        <w:t xml:space="preserve">NORA will also be making it a priority to work with other organizations and provide services that benefit the </w:t>
      </w:r>
      <w:r w:rsidR="00BB0295">
        <w:rPr>
          <w:rFonts w:ascii="Arial" w:hAnsi="Arial" w:cs="Arial"/>
          <w:bCs/>
        </w:rPr>
        <w:t>oil heating</w:t>
      </w:r>
      <w:r>
        <w:rPr>
          <w:rFonts w:ascii="Arial" w:hAnsi="Arial" w:cs="Arial"/>
          <w:bCs/>
        </w:rPr>
        <w:t xml:space="preserve"> industry.  NORA anticipates that partnerships with organizations such as the Clean Fuels Alliance America and New York State Energy Research and Development Authority (NYSERDA) may provide as much as $</w:t>
      </w:r>
      <w:r w:rsidR="000F4427">
        <w:rPr>
          <w:rFonts w:ascii="Arial" w:hAnsi="Arial" w:cs="Arial"/>
          <w:bCs/>
        </w:rPr>
        <w:t>20</w:t>
      </w:r>
      <w:r>
        <w:rPr>
          <w:rFonts w:ascii="Arial" w:hAnsi="Arial" w:cs="Arial"/>
          <w:bCs/>
        </w:rPr>
        <w:t>0,000 per year in 202</w:t>
      </w:r>
      <w:r w:rsidR="0073410B">
        <w:rPr>
          <w:rFonts w:ascii="Arial" w:hAnsi="Arial" w:cs="Arial"/>
          <w:bCs/>
        </w:rPr>
        <w:t>6</w:t>
      </w:r>
      <w:r>
        <w:rPr>
          <w:rFonts w:ascii="Arial" w:hAnsi="Arial" w:cs="Arial"/>
          <w:bCs/>
        </w:rPr>
        <w:t xml:space="preserve"> and 202</w:t>
      </w:r>
      <w:r w:rsidR="0073410B">
        <w:rPr>
          <w:rFonts w:ascii="Arial" w:hAnsi="Arial" w:cs="Arial"/>
          <w:bCs/>
        </w:rPr>
        <w:t>7</w:t>
      </w:r>
      <w:r>
        <w:rPr>
          <w:rFonts w:ascii="Arial" w:hAnsi="Arial" w:cs="Arial"/>
          <w:bCs/>
        </w:rPr>
        <w:t>.   However, since these grants are uncertain</w:t>
      </w:r>
      <w:r w:rsidR="0073410B">
        <w:rPr>
          <w:rFonts w:ascii="Arial" w:hAnsi="Arial" w:cs="Arial"/>
          <w:bCs/>
        </w:rPr>
        <w:t xml:space="preserve"> on a year to year basis</w:t>
      </w:r>
      <w:r>
        <w:rPr>
          <w:rFonts w:ascii="Arial" w:hAnsi="Arial" w:cs="Arial"/>
          <w:bCs/>
        </w:rPr>
        <w:t xml:space="preserve">, </w:t>
      </w:r>
      <w:r w:rsidR="0073410B">
        <w:rPr>
          <w:rFonts w:ascii="Arial" w:hAnsi="Arial" w:cs="Arial"/>
          <w:bCs/>
        </w:rPr>
        <w:t xml:space="preserve">never the less we did </w:t>
      </w:r>
      <w:r>
        <w:rPr>
          <w:rFonts w:ascii="Arial" w:hAnsi="Arial" w:cs="Arial"/>
          <w:bCs/>
        </w:rPr>
        <w:t>include</w:t>
      </w:r>
      <w:r w:rsidR="0073410B">
        <w:rPr>
          <w:rFonts w:ascii="Arial" w:hAnsi="Arial" w:cs="Arial"/>
          <w:bCs/>
        </w:rPr>
        <w:t xml:space="preserve"> them</w:t>
      </w:r>
      <w:r>
        <w:rPr>
          <w:rFonts w:ascii="Arial" w:hAnsi="Arial" w:cs="Arial"/>
          <w:bCs/>
        </w:rPr>
        <w:t xml:space="preserve"> in the Budget</w:t>
      </w:r>
      <w:r w:rsidR="0073410B">
        <w:rPr>
          <w:rFonts w:ascii="Arial" w:hAnsi="Arial" w:cs="Arial"/>
          <w:bCs/>
        </w:rPr>
        <w:t xml:space="preserve"> under Other Income (Expense). </w:t>
      </w:r>
    </w:p>
    <w:p w14:paraId="397FEA4B" w14:textId="77777777" w:rsidR="000C5287" w:rsidRDefault="000C5287" w:rsidP="000C5287">
      <w:pPr>
        <w:rPr>
          <w:rFonts w:ascii="Arial" w:hAnsi="Arial" w:cs="Arial"/>
          <w:bCs/>
        </w:rPr>
      </w:pPr>
    </w:p>
    <w:p w14:paraId="7B4C1017" w14:textId="77777777" w:rsidR="000C5287" w:rsidRDefault="000C5287" w:rsidP="000C5287">
      <w:pPr>
        <w:rPr>
          <w:rFonts w:ascii="Arial" w:hAnsi="Arial" w:cs="Arial"/>
          <w:bCs/>
        </w:rPr>
      </w:pPr>
      <w:r>
        <w:rPr>
          <w:rFonts w:ascii="Arial" w:hAnsi="Arial" w:cs="Arial"/>
          <w:bCs/>
        </w:rPr>
        <w:br w:type="page"/>
      </w:r>
    </w:p>
    <w:p w14:paraId="3012422F" w14:textId="77777777" w:rsidR="000C5287" w:rsidRDefault="000C5287" w:rsidP="000C5287">
      <w:pPr>
        <w:rPr>
          <w:rFonts w:ascii="Arial" w:hAnsi="Arial" w:cs="Arial"/>
          <w:bCs/>
        </w:rPr>
      </w:pPr>
      <w:r>
        <w:rPr>
          <w:rFonts w:ascii="Arial" w:hAnsi="Arial" w:cs="Arial"/>
          <w:b/>
          <w:bCs/>
        </w:rPr>
        <w:lastRenderedPageBreak/>
        <w:t>Escrow</w:t>
      </w:r>
    </w:p>
    <w:p w14:paraId="4781DA6B" w14:textId="77777777" w:rsidR="000C5287" w:rsidRDefault="000C5287" w:rsidP="000C5287">
      <w:pPr>
        <w:rPr>
          <w:rFonts w:ascii="Arial" w:hAnsi="Arial" w:cs="Arial"/>
          <w:bCs/>
        </w:rPr>
      </w:pPr>
    </w:p>
    <w:p w14:paraId="5BA51070" w14:textId="77777777" w:rsidR="000C5287" w:rsidRPr="00A84D18" w:rsidRDefault="000C5287" w:rsidP="000C5287">
      <w:pPr>
        <w:rPr>
          <w:rFonts w:ascii="Arial" w:hAnsi="Arial" w:cs="Arial"/>
          <w:bCs/>
        </w:rPr>
      </w:pPr>
      <w:r>
        <w:rPr>
          <w:rFonts w:ascii="Arial" w:hAnsi="Arial" w:cs="Arial"/>
          <w:bCs/>
        </w:rPr>
        <w:t xml:space="preserve">The Congressional Budget Office changed the scoring rules for programs like NORA since its inception in 2000.  To ensure the program did not impact the deficit, the law requires that 25 percent of the funds be placed into escrow, and that those funds cannot be obligated or spent until October 1, 2028.  This escrow will significantly curtail operations, and the reduced amounts are reflected in this budget. </w:t>
      </w:r>
    </w:p>
    <w:p w14:paraId="66748329" w14:textId="77777777" w:rsidR="000C5287" w:rsidRDefault="000C5287" w:rsidP="000C5287">
      <w:pPr>
        <w:rPr>
          <w:rFonts w:ascii="Arial" w:hAnsi="Arial" w:cs="Arial"/>
          <w:bCs/>
        </w:rPr>
      </w:pPr>
    </w:p>
    <w:p w14:paraId="1ED89A02" w14:textId="77777777" w:rsidR="000C5287" w:rsidRDefault="000C5287" w:rsidP="000C5287">
      <w:pPr>
        <w:rPr>
          <w:rFonts w:ascii="Arial" w:hAnsi="Arial" w:cs="Arial"/>
        </w:rPr>
      </w:pPr>
      <w:r>
        <w:rPr>
          <w:rFonts w:ascii="Arial" w:hAnsi="Arial" w:cs="Arial"/>
          <w:b/>
          <w:bCs/>
          <w:i/>
          <w:iCs/>
          <w:u w:val="single"/>
        </w:rPr>
        <w:t>Part II.  General Expenditures and Capital Investments</w:t>
      </w:r>
    </w:p>
    <w:p w14:paraId="7698F798" w14:textId="77777777" w:rsidR="000C5287" w:rsidRDefault="000C5287" w:rsidP="000C5287">
      <w:pPr>
        <w:rPr>
          <w:rFonts w:ascii="Arial" w:hAnsi="Arial" w:cs="Arial"/>
        </w:rPr>
      </w:pPr>
    </w:p>
    <w:p w14:paraId="655F7D40" w14:textId="01D52C63" w:rsidR="000C5287" w:rsidRDefault="000C5287" w:rsidP="000C5287">
      <w:pPr>
        <w:rPr>
          <w:rFonts w:ascii="Arial" w:hAnsi="Arial" w:cs="Arial"/>
        </w:rPr>
      </w:pPr>
      <w:r>
        <w:rPr>
          <w:rFonts w:ascii="Arial" w:hAnsi="Arial" w:cs="Arial"/>
        </w:rPr>
        <w:t>Office Unallocated Expenses in 202</w:t>
      </w:r>
      <w:r w:rsidR="000F4427">
        <w:rPr>
          <w:rFonts w:ascii="Arial" w:hAnsi="Arial" w:cs="Arial"/>
        </w:rPr>
        <w:t>6</w:t>
      </w:r>
      <w:r>
        <w:rPr>
          <w:rFonts w:ascii="Arial" w:hAnsi="Arial" w:cs="Arial"/>
        </w:rPr>
        <w:t xml:space="preserve"> are anticipated to be $ 3</w:t>
      </w:r>
      <w:r w:rsidR="000F4427">
        <w:rPr>
          <w:rFonts w:ascii="Arial" w:hAnsi="Arial" w:cs="Arial"/>
        </w:rPr>
        <w:t>63</w:t>
      </w:r>
      <w:r>
        <w:rPr>
          <w:rFonts w:ascii="Arial" w:hAnsi="Arial" w:cs="Arial"/>
        </w:rPr>
        <w:t>,000. and include salaries and other expenses related to administering the program, insurance, accounting fees and rent.  This figure will be</w:t>
      </w:r>
      <w:r w:rsidR="000F4427">
        <w:rPr>
          <w:rFonts w:ascii="Arial" w:hAnsi="Arial" w:cs="Arial"/>
        </w:rPr>
        <w:t xml:space="preserve"> maintained</w:t>
      </w:r>
      <w:r>
        <w:rPr>
          <w:rFonts w:ascii="Arial" w:hAnsi="Arial" w:cs="Arial"/>
        </w:rPr>
        <w:t xml:space="preserve"> </w:t>
      </w:r>
      <w:r w:rsidR="000F4427">
        <w:rPr>
          <w:rFonts w:ascii="Arial" w:hAnsi="Arial" w:cs="Arial"/>
        </w:rPr>
        <w:t>at</w:t>
      </w:r>
      <w:r>
        <w:rPr>
          <w:rFonts w:ascii="Arial" w:hAnsi="Arial" w:cs="Arial"/>
        </w:rPr>
        <w:t xml:space="preserve"> $36</w:t>
      </w:r>
      <w:r w:rsidR="000F4427">
        <w:rPr>
          <w:rFonts w:ascii="Arial" w:hAnsi="Arial" w:cs="Arial"/>
        </w:rPr>
        <w:t>3</w:t>
      </w:r>
      <w:r>
        <w:rPr>
          <w:rFonts w:ascii="Arial" w:hAnsi="Arial" w:cs="Arial"/>
        </w:rPr>
        <w:t>,000. In 202</w:t>
      </w:r>
      <w:r w:rsidR="000F4427">
        <w:rPr>
          <w:rFonts w:ascii="Arial" w:hAnsi="Arial" w:cs="Arial"/>
        </w:rPr>
        <w:t>7</w:t>
      </w:r>
      <w:r>
        <w:rPr>
          <w:rFonts w:ascii="Arial" w:hAnsi="Arial" w:cs="Arial"/>
        </w:rPr>
        <w:t>.  However, the total of all unallocated expenses will thus be approximately 6.</w:t>
      </w:r>
      <w:r w:rsidR="000F4427">
        <w:rPr>
          <w:rFonts w:ascii="Arial" w:hAnsi="Arial" w:cs="Arial"/>
        </w:rPr>
        <w:t>82</w:t>
      </w:r>
      <w:r>
        <w:rPr>
          <w:rFonts w:ascii="Arial" w:hAnsi="Arial" w:cs="Arial"/>
        </w:rPr>
        <w:t xml:space="preserve"> percent in 202</w:t>
      </w:r>
      <w:r w:rsidR="000F4427">
        <w:rPr>
          <w:rFonts w:ascii="Arial" w:hAnsi="Arial" w:cs="Arial"/>
        </w:rPr>
        <w:t>6</w:t>
      </w:r>
      <w:r>
        <w:rPr>
          <w:rFonts w:ascii="Arial" w:hAnsi="Arial" w:cs="Arial"/>
        </w:rPr>
        <w:t xml:space="preserve"> and 6.</w:t>
      </w:r>
      <w:r w:rsidR="000F4427">
        <w:rPr>
          <w:rFonts w:ascii="Arial" w:hAnsi="Arial" w:cs="Arial"/>
        </w:rPr>
        <w:t>82</w:t>
      </w:r>
      <w:r>
        <w:rPr>
          <w:rFonts w:ascii="Arial" w:hAnsi="Arial" w:cs="Arial"/>
        </w:rPr>
        <w:t xml:space="preserve">% of the program’s collections after the escrow.  Thus, they will be within the statutory cap of 7%. </w:t>
      </w:r>
    </w:p>
    <w:p w14:paraId="1B54E3FB" w14:textId="77777777" w:rsidR="000C5287" w:rsidRDefault="000C5287" w:rsidP="000C5287">
      <w:pPr>
        <w:rPr>
          <w:rFonts w:ascii="Arial" w:hAnsi="Arial" w:cs="Arial"/>
        </w:rPr>
      </w:pPr>
    </w:p>
    <w:p w14:paraId="22BAE4F5" w14:textId="77777777" w:rsidR="000C5287" w:rsidRDefault="000C5287" w:rsidP="000C5287">
      <w:pPr>
        <w:rPr>
          <w:rFonts w:ascii="Arial" w:hAnsi="Arial" w:cs="Arial"/>
        </w:rPr>
      </w:pPr>
      <w:r>
        <w:rPr>
          <w:rFonts w:ascii="Arial" w:hAnsi="Arial" w:cs="Arial"/>
          <w:b/>
          <w:bCs/>
          <w:i/>
          <w:iCs/>
        </w:rPr>
        <w:t>Assessments and Collections.</w:t>
      </w:r>
      <w:r>
        <w:rPr>
          <w:rFonts w:ascii="Arial" w:hAnsi="Arial" w:cs="Arial"/>
        </w:rPr>
        <w:t xml:space="preserve">  </w:t>
      </w:r>
    </w:p>
    <w:p w14:paraId="76EE5D7F" w14:textId="77777777" w:rsidR="000C5287" w:rsidRDefault="000C5287" w:rsidP="000C5287">
      <w:pPr>
        <w:rPr>
          <w:rFonts w:ascii="Arial" w:hAnsi="Arial" w:cs="Arial"/>
        </w:rPr>
      </w:pPr>
    </w:p>
    <w:p w14:paraId="3185D0D1" w14:textId="66BC1237" w:rsidR="000C5287" w:rsidRDefault="000C5287" w:rsidP="000C5287">
      <w:pPr>
        <w:rPr>
          <w:rFonts w:ascii="Arial" w:hAnsi="Arial" w:cs="Arial"/>
          <w:b/>
          <w:bCs/>
          <w:i/>
          <w:iCs/>
          <w:u w:val="single"/>
        </w:rPr>
      </w:pPr>
      <w:r>
        <w:rPr>
          <w:rFonts w:ascii="Arial" w:hAnsi="Arial" w:cs="Arial"/>
        </w:rPr>
        <w:t xml:space="preserve">The Alliance anticipates expenditures of </w:t>
      </w:r>
      <w:r>
        <w:rPr>
          <w:rFonts w:ascii="Arial" w:hAnsi="Arial" w:cs="Arial"/>
          <w:b/>
          <w:bCs/>
        </w:rPr>
        <w:t>$</w:t>
      </w:r>
      <w:r w:rsidR="0073410B">
        <w:rPr>
          <w:rFonts w:ascii="Arial" w:hAnsi="Arial" w:cs="Arial"/>
          <w:b/>
          <w:bCs/>
        </w:rPr>
        <w:t>345</w:t>
      </w:r>
      <w:r>
        <w:rPr>
          <w:rFonts w:ascii="Arial" w:hAnsi="Arial" w:cs="Arial"/>
          <w:b/>
          <w:bCs/>
        </w:rPr>
        <w:t>,000</w:t>
      </w:r>
      <w:r>
        <w:rPr>
          <w:rFonts w:ascii="Arial" w:hAnsi="Arial" w:cs="Arial"/>
        </w:rPr>
        <w:t xml:space="preserve"> for collection expenses in 202</w:t>
      </w:r>
      <w:r w:rsidR="000F4427">
        <w:rPr>
          <w:rFonts w:ascii="Arial" w:hAnsi="Arial" w:cs="Arial"/>
        </w:rPr>
        <w:t>6</w:t>
      </w:r>
      <w:r>
        <w:rPr>
          <w:rFonts w:ascii="Arial" w:hAnsi="Arial" w:cs="Arial"/>
        </w:rPr>
        <w:t xml:space="preserve"> and 202</w:t>
      </w:r>
      <w:r w:rsidR="000F4427">
        <w:rPr>
          <w:rFonts w:ascii="Arial" w:hAnsi="Arial" w:cs="Arial"/>
        </w:rPr>
        <w:t>7</w:t>
      </w:r>
      <w:r>
        <w:rPr>
          <w:rFonts w:ascii="Arial" w:hAnsi="Arial" w:cs="Arial"/>
        </w:rPr>
        <w:t>.   These costs include processing of collections, publicizing the collection system, maintaining lists, and providing attorney’s fees</w:t>
      </w:r>
      <w:r w:rsidR="000F4427">
        <w:rPr>
          <w:rFonts w:ascii="Arial" w:hAnsi="Arial" w:cs="Arial"/>
        </w:rPr>
        <w:t xml:space="preserve"> and accounting costs</w:t>
      </w:r>
      <w:r>
        <w:rPr>
          <w:rFonts w:ascii="Arial" w:hAnsi="Arial" w:cs="Arial"/>
        </w:rPr>
        <w:t xml:space="preserve"> to ensure that the system is effective.  It also includes expenses associated with refunds, and audit costs.  These expenses reflect actual costs in previous years.</w:t>
      </w:r>
    </w:p>
    <w:p w14:paraId="75A8A92E" w14:textId="77777777" w:rsidR="000C5287" w:rsidRDefault="000C5287" w:rsidP="000C5287">
      <w:pPr>
        <w:rPr>
          <w:rFonts w:ascii="Arial" w:hAnsi="Arial" w:cs="Arial"/>
          <w:b/>
          <w:bCs/>
          <w:i/>
          <w:iCs/>
          <w:u w:val="single"/>
        </w:rPr>
      </w:pPr>
    </w:p>
    <w:p w14:paraId="626F3FF2" w14:textId="29C09BBF" w:rsidR="000C5287" w:rsidRDefault="000C5287" w:rsidP="000C5287">
      <w:pPr>
        <w:rPr>
          <w:rFonts w:ascii="Arial" w:hAnsi="Arial" w:cs="Arial"/>
          <w:b/>
          <w:bCs/>
          <w:i/>
          <w:iCs/>
          <w:u w:val="single"/>
        </w:rPr>
      </w:pPr>
      <w:r>
        <w:rPr>
          <w:rFonts w:ascii="Arial" w:hAnsi="Arial" w:cs="Arial"/>
          <w:b/>
          <w:bCs/>
          <w:i/>
          <w:iCs/>
          <w:u w:val="single"/>
        </w:rPr>
        <w:t>Part III.</w:t>
      </w:r>
      <w:r w:rsidR="00B27280">
        <w:rPr>
          <w:rFonts w:ascii="Arial" w:hAnsi="Arial" w:cs="Arial"/>
          <w:b/>
          <w:bCs/>
          <w:i/>
          <w:iCs/>
          <w:u w:val="single"/>
        </w:rPr>
        <w:t xml:space="preserve">  </w:t>
      </w:r>
      <w:r>
        <w:rPr>
          <w:rFonts w:ascii="Arial" w:hAnsi="Arial" w:cs="Arial"/>
          <w:b/>
          <w:bCs/>
          <w:i/>
          <w:iCs/>
          <w:u w:val="single"/>
        </w:rPr>
        <w:t>State Rebates</w:t>
      </w:r>
    </w:p>
    <w:p w14:paraId="60F51907" w14:textId="77777777" w:rsidR="000C5287" w:rsidRDefault="000C5287" w:rsidP="000C5287">
      <w:pPr>
        <w:rPr>
          <w:rFonts w:ascii="Arial" w:hAnsi="Arial" w:cs="Arial"/>
          <w:b/>
          <w:bCs/>
          <w:i/>
          <w:iCs/>
          <w:u w:val="single"/>
        </w:rPr>
      </w:pPr>
    </w:p>
    <w:p w14:paraId="35CE13E2" w14:textId="1E466616" w:rsidR="000C5287" w:rsidRDefault="000C5287" w:rsidP="000C5287">
      <w:pPr>
        <w:rPr>
          <w:rFonts w:ascii="Arial" w:hAnsi="Arial" w:cs="Arial"/>
        </w:rPr>
      </w:pPr>
      <w:r>
        <w:rPr>
          <w:rFonts w:ascii="Arial" w:hAnsi="Arial" w:cs="Arial"/>
        </w:rPr>
        <w:t>The Alliance has endeavored to ensure that the funds generated benefit consumers and the oilheat industry.  The limitation on Administration contained in the Act and the current status of the industry also indicates that allowing local decision-making is the best way to maximize value.   To that end, the Alliance therefore intends to return a substantial portion of the funds for use in the state where they are generated.  In 202</w:t>
      </w:r>
      <w:r w:rsidR="000F4427">
        <w:rPr>
          <w:rFonts w:ascii="Arial" w:hAnsi="Arial" w:cs="Arial"/>
        </w:rPr>
        <w:t>6</w:t>
      </w:r>
      <w:r>
        <w:rPr>
          <w:rFonts w:ascii="Arial" w:hAnsi="Arial" w:cs="Arial"/>
        </w:rPr>
        <w:t>, this is anticipated to be $</w:t>
      </w:r>
      <w:r w:rsidR="000F4427">
        <w:rPr>
          <w:rFonts w:ascii="Arial" w:hAnsi="Arial" w:cs="Arial"/>
        </w:rPr>
        <w:t>2</w:t>
      </w:r>
      <w:r>
        <w:rPr>
          <w:rFonts w:ascii="Arial" w:hAnsi="Arial" w:cs="Arial"/>
        </w:rPr>
        <w:t>,7</w:t>
      </w:r>
      <w:r w:rsidR="000F4427">
        <w:rPr>
          <w:rFonts w:ascii="Arial" w:hAnsi="Arial" w:cs="Arial"/>
        </w:rPr>
        <w:t>74</w:t>
      </w:r>
      <w:r>
        <w:rPr>
          <w:rFonts w:ascii="Arial" w:hAnsi="Arial" w:cs="Arial"/>
        </w:rPr>
        <w:t>,</w:t>
      </w:r>
      <w:r w:rsidR="000F4427">
        <w:rPr>
          <w:rFonts w:ascii="Arial" w:hAnsi="Arial" w:cs="Arial"/>
        </w:rPr>
        <w:t>543</w:t>
      </w:r>
      <w:r>
        <w:rPr>
          <w:rFonts w:ascii="Arial" w:hAnsi="Arial" w:cs="Arial"/>
        </w:rPr>
        <w:t xml:space="preserve"> and in 202</w:t>
      </w:r>
      <w:r w:rsidR="000F4427">
        <w:rPr>
          <w:rFonts w:ascii="Arial" w:hAnsi="Arial" w:cs="Arial"/>
        </w:rPr>
        <w:t>7</w:t>
      </w:r>
      <w:r>
        <w:rPr>
          <w:rFonts w:ascii="Arial" w:hAnsi="Arial" w:cs="Arial"/>
        </w:rPr>
        <w:t>, it will be $</w:t>
      </w:r>
      <w:r w:rsidR="0073410B">
        <w:rPr>
          <w:rFonts w:ascii="Arial" w:hAnsi="Arial" w:cs="Arial"/>
        </w:rPr>
        <w:t>2,686,457</w:t>
      </w:r>
      <w:r>
        <w:rPr>
          <w:rFonts w:ascii="Arial" w:hAnsi="Arial" w:cs="Arial"/>
        </w:rPr>
        <w:t>. The states will use these funds to accomplish many of the goals described herein and will be within the statutory directives and their spending will match congressional allocations.</w:t>
      </w:r>
    </w:p>
    <w:p w14:paraId="3DDDA5FC" w14:textId="77777777" w:rsidR="000C5287" w:rsidRDefault="000C5287" w:rsidP="000C5287">
      <w:pPr>
        <w:rPr>
          <w:rFonts w:ascii="Arial" w:hAnsi="Arial" w:cs="Arial"/>
        </w:rPr>
      </w:pPr>
    </w:p>
    <w:p w14:paraId="7B358910" w14:textId="51DB8D7F" w:rsidR="000C5287" w:rsidRDefault="000C5287" w:rsidP="000C5287">
      <w:pPr>
        <w:rPr>
          <w:rFonts w:ascii="Arial" w:hAnsi="Arial" w:cs="Arial"/>
        </w:rPr>
      </w:pPr>
      <w:r>
        <w:rPr>
          <w:rFonts w:ascii="Arial" w:hAnsi="Arial" w:cs="Arial"/>
          <w:b/>
          <w:bCs/>
          <w:i/>
          <w:iCs/>
          <w:u w:val="single"/>
        </w:rPr>
        <w:t>Part IV.</w:t>
      </w:r>
      <w:r w:rsidR="00B27280">
        <w:rPr>
          <w:rFonts w:ascii="Arial" w:hAnsi="Arial" w:cs="Arial"/>
          <w:b/>
          <w:bCs/>
          <w:i/>
          <w:iCs/>
          <w:u w:val="single"/>
        </w:rPr>
        <w:t xml:space="preserve">  </w:t>
      </w:r>
      <w:r>
        <w:rPr>
          <w:rFonts w:ascii="Arial" w:hAnsi="Arial" w:cs="Arial"/>
          <w:b/>
          <w:bCs/>
          <w:i/>
          <w:iCs/>
          <w:u w:val="single"/>
        </w:rPr>
        <w:t>Program and Project Expenditures</w:t>
      </w:r>
    </w:p>
    <w:p w14:paraId="4FD826D1" w14:textId="77777777" w:rsidR="000C5287" w:rsidRDefault="000C5287" w:rsidP="000C5287">
      <w:pPr>
        <w:rPr>
          <w:rFonts w:ascii="Arial" w:hAnsi="Arial" w:cs="Arial"/>
        </w:rPr>
      </w:pPr>
    </w:p>
    <w:p w14:paraId="32561171" w14:textId="77777777" w:rsidR="000C5287" w:rsidRDefault="000C5287" w:rsidP="000C5287">
      <w:pPr>
        <w:rPr>
          <w:rFonts w:ascii="Arial" w:hAnsi="Arial" w:cs="Arial"/>
        </w:rPr>
      </w:pPr>
    </w:p>
    <w:p w14:paraId="2AE7FD02" w14:textId="77777777" w:rsidR="000C5287" w:rsidRDefault="000C5287" w:rsidP="000C5287">
      <w:pPr>
        <w:rPr>
          <w:rFonts w:ascii="Arial" w:hAnsi="Arial" w:cs="Arial"/>
        </w:rPr>
      </w:pPr>
      <w:r>
        <w:rPr>
          <w:rFonts w:ascii="Arial" w:hAnsi="Arial" w:cs="Arial"/>
        </w:rPr>
        <w:t xml:space="preserve">The Act requires the Alliance to develop programs, and projects and enter into contracts or other agreements with other persons and entities for implementing this title.                                                </w:t>
      </w:r>
    </w:p>
    <w:p w14:paraId="20E21137" w14:textId="77777777" w:rsidR="000C5287" w:rsidRDefault="000C5287" w:rsidP="000C5287">
      <w:pPr>
        <w:rPr>
          <w:rFonts w:ascii="Arial" w:hAnsi="Arial" w:cs="Arial"/>
        </w:rPr>
      </w:pPr>
    </w:p>
    <w:p w14:paraId="1BBB3C81" w14:textId="77777777" w:rsidR="000C5287" w:rsidRDefault="000C5287" w:rsidP="000C5287">
      <w:pPr>
        <w:rPr>
          <w:rFonts w:ascii="Arial" w:hAnsi="Arial" w:cs="Arial"/>
        </w:rPr>
      </w:pPr>
      <w:r>
        <w:rPr>
          <w:rFonts w:ascii="Arial" w:hAnsi="Arial" w:cs="Arial"/>
        </w:rPr>
        <w:t xml:space="preserve">The Act is designed to benefit consumers of Oilheat by allowing the industry to develop appropriate programs of consumer education, energy efficiency, research and development and education and training to benefit consumers.  </w:t>
      </w:r>
    </w:p>
    <w:p w14:paraId="790CEC50" w14:textId="77777777" w:rsidR="000C5287" w:rsidRDefault="000C5287" w:rsidP="000C5287">
      <w:pPr>
        <w:rPr>
          <w:rFonts w:ascii="Arial" w:hAnsi="Arial" w:cs="Arial"/>
        </w:rPr>
      </w:pPr>
      <w:r>
        <w:rPr>
          <w:rFonts w:ascii="Arial" w:hAnsi="Arial" w:cs="Arial"/>
        </w:rPr>
        <w:lastRenderedPageBreak/>
        <w:t xml:space="preserve">This budget document will determine all spending.  The Executive Committee of the Alliance and the Alliance will be responsible for reviewing contracts and approving them as appropriate and implementing this budget.  </w:t>
      </w:r>
    </w:p>
    <w:p w14:paraId="7FD2B5E4" w14:textId="77777777" w:rsidR="000C5287" w:rsidRDefault="000C5287" w:rsidP="000C5287">
      <w:pPr>
        <w:rPr>
          <w:rFonts w:ascii="Arial" w:hAnsi="Arial" w:cs="Arial"/>
        </w:rPr>
      </w:pPr>
    </w:p>
    <w:p w14:paraId="5198DD58" w14:textId="77777777" w:rsidR="000C5287" w:rsidRDefault="000C5287" w:rsidP="000C5287">
      <w:pPr>
        <w:rPr>
          <w:rFonts w:ascii="Arial" w:hAnsi="Arial" w:cs="Arial"/>
          <w:b/>
          <w:bCs/>
          <w:i/>
          <w:iCs/>
        </w:rPr>
      </w:pPr>
    </w:p>
    <w:p w14:paraId="70705A00" w14:textId="77777777" w:rsidR="000C5287" w:rsidRDefault="000C5287" w:rsidP="000C5287">
      <w:pPr>
        <w:rPr>
          <w:rFonts w:ascii="Arial" w:hAnsi="Arial" w:cs="Arial"/>
        </w:rPr>
      </w:pPr>
      <w:r>
        <w:rPr>
          <w:rFonts w:ascii="Arial" w:hAnsi="Arial" w:cs="Arial"/>
          <w:b/>
          <w:bCs/>
          <w:i/>
          <w:iCs/>
        </w:rPr>
        <w:t>Education and Training and Consumer Education.</w:t>
      </w:r>
    </w:p>
    <w:p w14:paraId="21399475" w14:textId="77777777" w:rsidR="000C5287" w:rsidRDefault="000C5287" w:rsidP="000C5287">
      <w:pPr>
        <w:rPr>
          <w:rFonts w:ascii="Arial" w:hAnsi="Arial" w:cs="Arial"/>
        </w:rPr>
      </w:pPr>
    </w:p>
    <w:p w14:paraId="39011A0E" w14:textId="3BA13709" w:rsidR="000C5287" w:rsidRDefault="000C5287" w:rsidP="000C5287">
      <w:pPr>
        <w:rPr>
          <w:rFonts w:ascii="Arial" w:hAnsi="Arial" w:cs="Arial"/>
        </w:rPr>
      </w:pPr>
      <w:r>
        <w:rPr>
          <w:rFonts w:ascii="Arial" w:hAnsi="Arial" w:cs="Arial"/>
        </w:rPr>
        <w:t>The Act requires the Alliance to enhance consumer and employee safety and training and provide consumer education.  The total expenses available for these activities are $1,</w:t>
      </w:r>
      <w:r w:rsidR="000F4427">
        <w:rPr>
          <w:rFonts w:ascii="Arial" w:hAnsi="Arial" w:cs="Arial"/>
        </w:rPr>
        <w:t>491</w:t>
      </w:r>
      <w:r>
        <w:rPr>
          <w:rFonts w:ascii="Arial" w:hAnsi="Arial" w:cs="Arial"/>
        </w:rPr>
        <w:t>,</w:t>
      </w:r>
      <w:r w:rsidR="000F4427">
        <w:rPr>
          <w:rFonts w:ascii="Arial" w:hAnsi="Arial" w:cs="Arial"/>
        </w:rPr>
        <w:t>22</w:t>
      </w:r>
      <w:r w:rsidR="00C72B3C">
        <w:rPr>
          <w:rFonts w:ascii="Arial" w:hAnsi="Arial" w:cs="Arial"/>
        </w:rPr>
        <w:t>4</w:t>
      </w:r>
      <w:r>
        <w:rPr>
          <w:rFonts w:ascii="Arial" w:hAnsi="Arial" w:cs="Arial"/>
        </w:rPr>
        <w:t xml:space="preserve"> in 202</w:t>
      </w:r>
      <w:r w:rsidR="000F4427">
        <w:rPr>
          <w:rFonts w:ascii="Arial" w:hAnsi="Arial" w:cs="Arial"/>
        </w:rPr>
        <w:t>6</w:t>
      </w:r>
      <w:r>
        <w:rPr>
          <w:rFonts w:ascii="Arial" w:hAnsi="Arial" w:cs="Arial"/>
        </w:rPr>
        <w:t xml:space="preserve"> and $1,</w:t>
      </w:r>
      <w:r w:rsidR="00C72B3C">
        <w:rPr>
          <w:rFonts w:ascii="Arial" w:hAnsi="Arial" w:cs="Arial"/>
        </w:rPr>
        <w:t>446,487</w:t>
      </w:r>
      <w:r>
        <w:rPr>
          <w:rFonts w:ascii="Arial" w:hAnsi="Arial" w:cs="Arial"/>
        </w:rPr>
        <w:t xml:space="preserve"> in 202</w:t>
      </w:r>
      <w:r w:rsidR="000F4427">
        <w:rPr>
          <w:rFonts w:ascii="Arial" w:hAnsi="Arial" w:cs="Arial"/>
        </w:rPr>
        <w:t>7</w:t>
      </w:r>
      <w:r>
        <w:rPr>
          <w:rFonts w:ascii="Arial" w:hAnsi="Arial" w:cs="Arial"/>
        </w:rPr>
        <w:t>.  Of these expenditures the Alliance is proposing to budget $2</w:t>
      </w:r>
      <w:r w:rsidR="000F4427">
        <w:rPr>
          <w:rFonts w:ascii="Arial" w:hAnsi="Arial" w:cs="Arial"/>
        </w:rPr>
        <w:t>52</w:t>
      </w:r>
      <w:r>
        <w:rPr>
          <w:rFonts w:ascii="Arial" w:hAnsi="Arial" w:cs="Arial"/>
        </w:rPr>
        <w:t xml:space="preserve">,000 to be administered by the national office in </w:t>
      </w:r>
      <w:r w:rsidR="00C72B3C">
        <w:rPr>
          <w:rFonts w:ascii="Arial" w:hAnsi="Arial" w:cs="Arial"/>
        </w:rPr>
        <w:t>2026 and $244,440 in 2027</w:t>
      </w:r>
      <w:r>
        <w:rPr>
          <w:rFonts w:ascii="Arial" w:hAnsi="Arial" w:cs="Arial"/>
        </w:rPr>
        <w:t xml:space="preserve">. </w:t>
      </w:r>
      <w:r w:rsidR="00E12FFA">
        <w:rPr>
          <w:rFonts w:ascii="Arial" w:hAnsi="Arial" w:cs="Arial"/>
        </w:rPr>
        <w:t>These budgetary amounts represent approximately 2</w:t>
      </w:r>
      <w:r w:rsidR="000F4427">
        <w:rPr>
          <w:rFonts w:ascii="Arial" w:hAnsi="Arial" w:cs="Arial"/>
        </w:rPr>
        <w:t>8</w:t>
      </w:r>
      <w:r w:rsidR="00E12FFA">
        <w:rPr>
          <w:rFonts w:ascii="Arial" w:hAnsi="Arial" w:cs="Arial"/>
        </w:rPr>
        <w:t xml:space="preserve">% of the overall NORA budget, which falls below the statutory maximum of 30%.  </w:t>
      </w:r>
      <w:r>
        <w:rPr>
          <w:rFonts w:ascii="Arial" w:hAnsi="Arial" w:cs="Arial"/>
        </w:rPr>
        <w:t xml:space="preserve">The national office will be producing and maintaining an online training center with these funds.  In-person training is often the preferred method of training; however, many technicians are in remote areas and have limited access to training.  Having a training center that can provide training, maintain student records and outreach to students is critical.        </w:t>
      </w:r>
    </w:p>
    <w:p w14:paraId="7A5164D9" w14:textId="77777777" w:rsidR="000C5287" w:rsidRDefault="000C5287" w:rsidP="000C5287">
      <w:pPr>
        <w:rPr>
          <w:rFonts w:ascii="Arial" w:hAnsi="Arial" w:cs="Arial"/>
        </w:rPr>
      </w:pPr>
    </w:p>
    <w:p w14:paraId="1F96C9E7" w14:textId="3CBC8475" w:rsidR="000C5287" w:rsidRPr="004C5491" w:rsidRDefault="000C5287" w:rsidP="000C5287">
      <w:pPr>
        <w:rPr>
          <w:rFonts w:ascii="Arial" w:hAnsi="Arial" w:cs="Arial"/>
        </w:rPr>
      </w:pPr>
      <w:r w:rsidRPr="004C5491">
        <w:rPr>
          <w:rFonts w:ascii="Arial" w:hAnsi="Arial" w:cs="Arial"/>
        </w:rPr>
        <w:t>The states affiliated with NORA will be provided with</w:t>
      </w:r>
      <w:r w:rsidRPr="004C5491">
        <w:rPr>
          <w:rFonts w:ascii="Arial" w:hAnsi="Arial" w:cs="Arial"/>
          <w:color w:val="000000"/>
        </w:rPr>
        <w:t xml:space="preserve"> $</w:t>
      </w:r>
      <w:r>
        <w:rPr>
          <w:rFonts w:ascii="Arial" w:hAnsi="Arial" w:cs="Arial"/>
          <w:color w:val="000000"/>
        </w:rPr>
        <w:t>1,</w:t>
      </w:r>
      <w:r w:rsidR="000F4427">
        <w:rPr>
          <w:rFonts w:ascii="Arial" w:hAnsi="Arial" w:cs="Arial"/>
          <w:color w:val="000000"/>
        </w:rPr>
        <w:t>239,22</w:t>
      </w:r>
      <w:r w:rsidR="00C72B3C">
        <w:rPr>
          <w:rFonts w:ascii="Arial" w:hAnsi="Arial" w:cs="Arial"/>
          <w:color w:val="000000"/>
        </w:rPr>
        <w:t>4</w:t>
      </w:r>
      <w:r w:rsidRPr="004C5491">
        <w:rPr>
          <w:rFonts w:ascii="Arial" w:hAnsi="Arial" w:cs="Arial"/>
          <w:color w:val="000000"/>
        </w:rPr>
        <w:t xml:space="preserve"> </w:t>
      </w:r>
      <w:r w:rsidRPr="004C5491">
        <w:rPr>
          <w:rFonts w:ascii="Arial" w:hAnsi="Arial" w:cs="Arial"/>
        </w:rPr>
        <w:t xml:space="preserve">for </w:t>
      </w:r>
      <w:r>
        <w:rPr>
          <w:rFonts w:ascii="Arial" w:hAnsi="Arial" w:cs="Arial"/>
        </w:rPr>
        <w:t>202</w:t>
      </w:r>
      <w:r w:rsidR="000F4427">
        <w:rPr>
          <w:rFonts w:ascii="Arial" w:hAnsi="Arial" w:cs="Arial"/>
        </w:rPr>
        <w:t>6</w:t>
      </w:r>
      <w:r w:rsidRPr="004C5491">
        <w:rPr>
          <w:rFonts w:ascii="Arial" w:hAnsi="Arial" w:cs="Arial"/>
        </w:rPr>
        <w:t xml:space="preserve"> and </w:t>
      </w:r>
      <w:r w:rsidRPr="004C5491">
        <w:rPr>
          <w:rFonts w:ascii="Arial" w:hAnsi="Arial" w:cs="Arial"/>
          <w:color w:val="000000"/>
        </w:rPr>
        <w:t>$</w:t>
      </w:r>
      <w:r>
        <w:rPr>
          <w:rFonts w:ascii="Arial" w:hAnsi="Arial" w:cs="Arial"/>
          <w:color w:val="000000"/>
        </w:rPr>
        <w:t>1,</w:t>
      </w:r>
      <w:r w:rsidR="00C72B3C">
        <w:rPr>
          <w:rFonts w:ascii="Arial" w:hAnsi="Arial" w:cs="Arial"/>
          <w:color w:val="000000"/>
        </w:rPr>
        <w:t>202,047</w:t>
      </w:r>
      <w:r w:rsidRPr="004C5491">
        <w:rPr>
          <w:rFonts w:ascii="Arial" w:hAnsi="Arial" w:cs="Arial"/>
          <w:color w:val="000000"/>
        </w:rPr>
        <w:t xml:space="preserve"> </w:t>
      </w:r>
      <w:r w:rsidRPr="004C5491">
        <w:rPr>
          <w:rFonts w:ascii="Arial" w:hAnsi="Arial" w:cs="Arial"/>
        </w:rPr>
        <w:t xml:space="preserve">in </w:t>
      </w:r>
      <w:r>
        <w:rPr>
          <w:rFonts w:ascii="Arial" w:hAnsi="Arial" w:cs="Arial"/>
        </w:rPr>
        <w:t>202</w:t>
      </w:r>
      <w:r w:rsidR="000F4427">
        <w:rPr>
          <w:rFonts w:ascii="Arial" w:hAnsi="Arial" w:cs="Arial"/>
        </w:rPr>
        <w:t>7</w:t>
      </w:r>
      <w:r w:rsidRPr="004C5491">
        <w:rPr>
          <w:rFonts w:ascii="Arial" w:hAnsi="Arial" w:cs="Arial"/>
        </w:rPr>
        <w:t>. The states will develop internal budgets based on these allocations.  The states will focus most of their funding on basic technician education.  Extended management training to improve overall service and improve the oilheat consumer experience will also be developed and used.</w:t>
      </w:r>
    </w:p>
    <w:p w14:paraId="76CC5A23" w14:textId="77777777" w:rsidR="000C5287" w:rsidRDefault="000C5287" w:rsidP="000C5287">
      <w:pPr>
        <w:rPr>
          <w:rFonts w:ascii="Arial" w:hAnsi="Arial" w:cs="Arial"/>
          <w:b/>
          <w:bCs/>
          <w:i/>
          <w:iCs/>
        </w:rPr>
      </w:pPr>
    </w:p>
    <w:p w14:paraId="18AAEBE6" w14:textId="77777777" w:rsidR="000C5287" w:rsidRDefault="000C5287" w:rsidP="000C5287">
      <w:pPr>
        <w:rPr>
          <w:rFonts w:ascii="Arial" w:hAnsi="Arial" w:cs="Arial"/>
          <w:b/>
          <w:bCs/>
          <w:i/>
          <w:iCs/>
        </w:rPr>
      </w:pPr>
      <w:r>
        <w:rPr>
          <w:rFonts w:ascii="Arial" w:hAnsi="Arial" w:cs="Arial"/>
          <w:b/>
          <w:bCs/>
          <w:i/>
          <w:iCs/>
        </w:rPr>
        <w:t>Technician Certification Program</w:t>
      </w:r>
    </w:p>
    <w:p w14:paraId="7028A1B5" w14:textId="77777777" w:rsidR="000C5287" w:rsidRDefault="000C5287" w:rsidP="000C5287">
      <w:pPr>
        <w:rPr>
          <w:rFonts w:ascii="Arial" w:hAnsi="Arial" w:cs="Arial"/>
        </w:rPr>
      </w:pPr>
    </w:p>
    <w:p w14:paraId="61D07DB6" w14:textId="77777777" w:rsidR="000C5287" w:rsidRDefault="000C5287" w:rsidP="000C5287">
      <w:pPr>
        <w:rPr>
          <w:rFonts w:ascii="Arial" w:hAnsi="Arial" w:cs="Arial"/>
        </w:rPr>
      </w:pPr>
      <w:r>
        <w:rPr>
          <w:rFonts w:ascii="Arial" w:hAnsi="Arial" w:cs="Arial"/>
        </w:rPr>
        <w:t xml:space="preserve">The Alliance will continue to improve its Technician Certification program.  Recognizing excellence is a vital part of improving employee training which leads to improved consumer value and safety.  To this end, the Alliance is continuously improving the website, training materials and the certification tests. </w:t>
      </w:r>
    </w:p>
    <w:p w14:paraId="16738AC2" w14:textId="77777777" w:rsidR="000C5287" w:rsidRDefault="000C5287" w:rsidP="000C5287">
      <w:pPr>
        <w:rPr>
          <w:rFonts w:ascii="Arial" w:hAnsi="Arial" w:cs="Arial"/>
        </w:rPr>
      </w:pPr>
    </w:p>
    <w:p w14:paraId="699EED92" w14:textId="77777777" w:rsidR="000C5287" w:rsidRDefault="000C5287" w:rsidP="000C5287">
      <w:pPr>
        <w:ind w:right="720"/>
        <w:rPr>
          <w:rFonts w:ascii="Arial" w:hAnsi="Arial" w:cs="Arial"/>
        </w:rPr>
      </w:pPr>
      <w:r>
        <w:rPr>
          <w:rFonts w:ascii="Arial" w:hAnsi="Arial" w:cs="Arial"/>
          <w:b/>
          <w:bCs/>
          <w:i/>
          <w:iCs/>
        </w:rPr>
        <w:t>New Training Materials</w:t>
      </w:r>
      <w:r>
        <w:rPr>
          <w:rFonts w:ascii="Arial" w:hAnsi="Arial" w:cs="Arial"/>
        </w:rPr>
        <w:t>.</w:t>
      </w:r>
    </w:p>
    <w:p w14:paraId="110CE39E" w14:textId="77777777" w:rsidR="000C5287" w:rsidRDefault="000C5287" w:rsidP="000C5287">
      <w:pPr>
        <w:ind w:right="720"/>
        <w:rPr>
          <w:rFonts w:ascii="Arial" w:hAnsi="Arial" w:cs="Arial"/>
        </w:rPr>
      </w:pPr>
    </w:p>
    <w:p w14:paraId="3684D541" w14:textId="03BE7C99" w:rsidR="000C5287" w:rsidRDefault="000C5287" w:rsidP="000C5287">
      <w:pPr>
        <w:ind w:right="720"/>
        <w:rPr>
          <w:rFonts w:ascii="Arial" w:hAnsi="Arial" w:cs="Arial"/>
        </w:rPr>
      </w:pPr>
      <w:r>
        <w:rPr>
          <w:rFonts w:ascii="Arial" w:hAnsi="Arial" w:cs="Arial"/>
        </w:rPr>
        <w:t xml:space="preserve">The Alliance will continue to develop training materials and course materials for the industry.   NORA will continue to conduct Train-the-Trainer programs for the </w:t>
      </w:r>
      <w:r w:rsidR="00C72B3C">
        <w:rPr>
          <w:rFonts w:ascii="Arial" w:hAnsi="Arial" w:cs="Arial"/>
        </w:rPr>
        <w:t xml:space="preserve">Bronze, </w:t>
      </w:r>
      <w:r>
        <w:rPr>
          <w:rFonts w:ascii="Arial" w:hAnsi="Arial" w:cs="Arial"/>
        </w:rPr>
        <w:t>Gold and Silver program</w:t>
      </w:r>
      <w:r w:rsidR="00C72B3C">
        <w:rPr>
          <w:rFonts w:ascii="Arial" w:hAnsi="Arial" w:cs="Arial"/>
        </w:rPr>
        <w:t>s</w:t>
      </w:r>
      <w:r>
        <w:rPr>
          <w:rFonts w:ascii="Arial" w:hAnsi="Arial" w:cs="Arial"/>
        </w:rPr>
        <w:t>.</w:t>
      </w:r>
      <w:r w:rsidRPr="00215A3C">
        <w:rPr>
          <w:rFonts w:ascii="Arial" w:hAnsi="Arial" w:cs="Arial"/>
        </w:rPr>
        <w:t xml:space="preserve"> </w:t>
      </w:r>
      <w:r>
        <w:rPr>
          <w:rFonts w:ascii="Arial" w:hAnsi="Arial" w:cs="Arial"/>
        </w:rPr>
        <w:t xml:space="preserve">NORA is </w:t>
      </w:r>
      <w:r w:rsidR="00C72B3C">
        <w:rPr>
          <w:rFonts w:ascii="Arial" w:hAnsi="Arial" w:cs="Arial"/>
        </w:rPr>
        <w:t xml:space="preserve">constantly </w:t>
      </w:r>
      <w:r>
        <w:rPr>
          <w:rFonts w:ascii="Arial" w:hAnsi="Arial" w:cs="Arial"/>
        </w:rPr>
        <w:t xml:space="preserve">working </w:t>
      </w:r>
      <w:r w:rsidR="00C72B3C">
        <w:rPr>
          <w:rFonts w:ascii="Arial" w:hAnsi="Arial" w:cs="Arial"/>
        </w:rPr>
        <w:t xml:space="preserve">and improving upon </w:t>
      </w:r>
      <w:r>
        <w:rPr>
          <w:rFonts w:ascii="Arial" w:hAnsi="Arial" w:cs="Arial"/>
        </w:rPr>
        <w:t xml:space="preserve">online </w:t>
      </w:r>
      <w:r w:rsidR="00C72B3C">
        <w:rPr>
          <w:rFonts w:ascii="Arial" w:hAnsi="Arial" w:cs="Arial"/>
        </w:rPr>
        <w:t xml:space="preserve">video </w:t>
      </w:r>
      <w:r>
        <w:rPr>
          <w:rFonts w:ascii="Arial" w:hAnsi="Arial" w:cs="Arial"/>
        </w:rPr>
        <w:t xml:space="preserve">presentations of the subject areas of its expanded gold program, steam, hydronics, venting, advanced controls, air flow for warm air systems, and energy efficiency.  NORA will continue to work with the states to bring these training opportunities into the community. </w:t>
      </w:r>
    </w:p>
    <w:p w14:paraId="20F5E293" w14:textId="77777777" w:rsidR="000C5287" w:rsidRDefault="000C5287" w:rsidP="000C5287">
      <w:pPr>
        <w:ind w:right="720"/>
        <w:rPr>
          <w:rFonts w:ascii="Arial" w:hAnsi="Arial" w:cs="Arial"/>
        </w:rPr>
      </w:pPr>
    </w:p>
    <w:p w14:paraId="1401F194" w14:textId="77777777" w:rsidR="000C5287" w:rsidRDefault="000C5287" w:rsidP="000C5287">
      <w:pPr>
        <w:ind w:right="720"/>
        <w:rPr>
          <w:rFonts w:ascii="Arial" w:hAnsi="Arial" w:cs="Arial"/>
          <w:b/>
          <w:bCs/>
          <w:i/>
          <w:iCs/>
        </w:rPr>
      </w:pPr>
      <w:r>
        <w:rPr>
          <w:rFonts w:ascii="Arial" w:hAnsi="Arial" w:cs="Arial"/>
        </w:rPr>
        <w:t xml:space="preserve">  </w:t>
      </w:r>
    </w:p>
    <w:p w14:paraId="299D7BE1" w14:textId="77777777" w:rsidR="000C5287" w:rsidRDefault="000C5287" w:rsidP="000C5287">
      <w:pPr>
        <w:pStyle w:val="BodyText"/>
        <w:rPr>
          <w:rFonts w:ascii="Arial" w:hAnsi="Arial" w:cs="Arial"/>
          <w:b/>
          <w:bCs/>
          <w:i/>
          <w:iCs/>
        </w:rPr>
      </w:pPr>
      <w:r>
        <w:rPr>
          <w:rFonts w:ascii="Arial" w:hAnsi="Arial" w:cs="Arial"/>
          <w:b/>
          <w:bCs/>
          <w:i/>
          <w:iCs/>
        </w:rPr>
        <w:t>State Rebates</w:t>
      </w:r>
    </w:p>
    <w:p w14:paraId="19A63AA9" w14:textId="77777777" w:rsidR="000C5287" w:rsidRDefault="000C5287" w:rsidP="000C5287">
      <w:pPr>
        <w:pStyle w:val="BodyText"/>
        <w:rPr>
          <w:rFonts w:ascii="Arial" w:hAnsi="Arial" w:cs="Arial"/>
        </w:rPr>
      </w:pPr>
    </w:p>
    <w:p w14:paraId="192529A8" w14:textId="77777777" w:rsidR="000C5287" w:rsidRDefault="000C5287" w:rsidP="000C5287">
      <w:pPr>
        <w:pStyle w:val="BodyText"/>
        <w:tabs>
          <w:tab w:val="left" w:pos="7920"/>
          <w:tab w:val="left" w:pos="8640"/>
        </w:tabs>
        <w:ind w:right="-720"/>
        <w:rPr>
          <w:rFonts w:ascii="Arial" w:hAnsi="Arial" w:cs="Arial"/>
        </w:rPr>
      </w:pPr>
      <w:r>
        <w:rPr>
          <w:rFonts w:ascii="Arial" w:hAnsi="Arial" w:cs="Arial"/>
        </w:rPr>
        <w:t>A significant portion of the Alliance generated funds will be returned to the states in</w:t>
      </w:r>
    </w:p>
    <w:p w14:paraId="41BBD7B7" w14:textId="77777777" w:rsidR="000C5287" w:rsidRDefault="000C5287" w:rsidP="000C5287">
      <w:pPr>
        <w:pStyle w:val="BodyText"/>
        <w:tabs>
          <w:tab w:val="left" w:pos="7920"/>
          <w:tab w:val="left" w:pos="8640"/>
        </w:tabs>
        <w:ind w:right="-720"/>
        <w:rPr>
          <w:rFonts w:ascii="Arial" w:hAnsi="Arial" w:cs="Arial"/>
        </w:rPr>
      </w:pPr>
      <w:r>
        <w:rPr>
          <w:rFonts w:ascii="Arial" w:hAnsi="Arial" w:cs="Arial"/>
        </w:rPr>
        <w:t>conformance with the law to accomplish the objectives of the Act.  The states will</w:t>
      </w:r>
    </w:p>
    <w:p w14:paraId="5E4F5E78" w14:textId="77777777" w:rsidR="000C5287" w:rsidRDefault="000C5287" w:rsidP="000C5287">
      <w:pPr>
        <w:pStyle w:val="BodyText"/>
        <w:tabs>
          <w:tab w:val="left" w:pos="7920"/>
          <w:tab w:val="left" w:pos="8640"/>
        </w:tabs>
        <w:ind w:right="-720"/>
        <w:rPr>
          <w:rFonts w:ascii="Arial" w:hAnsi="Arial" w:cs="Arial"/>
        </w:rPr>
      </w:pPr>
      <w:r>
        <w:rPr>
          <w:rFonts w:ascii="Arial" w:hAnsi="Arial" w:cs="Arial"/>
        </w:rPr>
        <w:lastRenderedPageBreak/>
        <w:t>implement many of the programs described above.  Providing in field training for technicians</w:t>
      </w:r>
    </w:p>
    <w:p w14:paraId="25E81D61" w14:textId="77777777" w:rsidR="000C5287" w:rsidRDefault="000C5287" w:rsidP="000C5287">
      <w:pPr>
        <w:pStyle w:val="BodyText"/>
        <w:tabs>
          <w:tab w:val="left" w:pos="7920"/>
          <w:tab w:val="left" w:pos="8640"/>
        </w:tabs>
        <w:ind w:right="-720"/>
        <w:rPr>
          <w:rFonts w:ascii="Arial" w:hAnsi="Arial" w:cs="Arial"/>
        </w:rPr>
      </w:pPr>
      <w:r>
        <w:rPr>
          <w:rFonts w:ascii="Arial" w:hAnsi="Arial" w:cs="Arial"/>
        </w:rPr>
        <w:t>is critical.</w:t>
      </w:r>
    </w:p>
    <w:p w14:paraId="54BBC869" w14:textId="77777777" w:rsidR="000C5287" w:rsidRDefault="000C5287" w:rsidP="000C5287">
      <w:pPr>
        <w:pStyle w:val="BodyText"/>
        <w:tabs>
          <w:tab w:val="left" w:pos="7920"/>
          <w:tab w:val="left" w:pos="8640"/>
        </w:tabs>
        <w:ind w:right="-720"/>
        <w:rPr>
          <w:rFonts w:ascii="Arial" w:hAnsi="Arial" w:cs="Arial"/>
        </w:rPr>
      </w:pPr>
    </w:p>
    <w:p w14:paraId="43044A7F" w14:textId="2E2CFFC7" w:rsidR="000C5287" w:rsidRDefault="000C5287" w:rsidP="000C5287">
      <w:pPr>
        <w:pStyle w:val="BodyText"/>
        <w:tabs>
          <w:tab w:val="left" w:pos="7920"/>
          <w:tab w:val="left" w:pos="8640"/>
        </w:tabs>
        <w:ind w:right="-720"/>
        <w:rPr>
          <w:rFonts w:ascii="Arial" w:hAnsi="Arial" w:cs="Arial"/>
        </w:rPr>
      </w:pPr>
      <w:r>
        <w:rPr>
          <w:rFonts w:ascii="Arial" w:hAnsi="Arial" w:cs="Arial"/>
        </w:rPr>
        <w:t xml:space="preserve">Several of the states operate full time training facilities used by the industry.  These include </w:t>
      </w:r>
      <w:r w:rsidRPr="00996C45">
        <w:rPr>
          <w:rFonts w:ascii="Arial" w:hAnsi="Arial" w:cs="Arial"/>
        </w:rPr>
        <w:t>Maine,</w:t>
      </w:r>
      <w:r w:rsidR="00996C45" w:rsidRPr="00996C45">
        <w:rPr>
          <w:rFonts w:ascii="Arial" w:hAnsi="Arial" w:cs="Arial"/>
        </w:rPr>
        <w:t xml:space="preserve"> </w:t>
      </w:r>
      <w:r w:rsidRPr="00996C45">
        <w:rPr>
          <w:rFonts w:ascii="Arial" w:hAnsi="Arial" w:cs="Arial"/>
        </w:rPr>
        <w:t xml:space="preserve">Vermont, Connecticut, New York, and Pennsylvania.  The remaining states use the funds to do periodic training at </w:t>
      </w:r>
      <w:r>
        <w:rPr>
          <w:rFonts w:ascii="Arial" w:hAnsi="Arial" w:cs="Arial"/>
        </w:rPr>
        <w:t xml:space="preserve">temporary facilities.  </w:t>
      </w:r>
    </w:p>
    <w:p w14:paraId="16AAC8A0" w14:textId="77777777" w:rsidR="000C5287" w:rsidRDefault="000C5287" w:rsidP="000C5287">
      <w:pPr>
        <w:pStyle w:val="BodyText"/>
        <w:tabs>
          <w:tab w:val="left" w:pos="7920"/>
          <w:tab w:val="left" w:pos="8640"/>
        </w:tabs>
        <w:ind w:right="-720"/>
        <w:rPr>
          <w:rFonts w:ascii="Arial" w:hAnsi="Arial" w:cs="Arial"/>
        </w:rPr>
      </w:pPr>
    </w:p>
    <w:p w14:paraId="032BA363" w14:textId="708F49D7" w:rsidR="000C5287" w:rsidRDefault="000C5287" w:rsidP="000C5287">
      <w:pPr>
        <w:pStyle w:val="BodyText"/>
        <w:tabs>
          <w:tab w:val="left" w:pos="7920"/>
          <w:tab w:val="left" w:pos="8640"/>
        </w:tabs>
        <w:ind w:right="-720"/>
        <w:rPr>
          <w:rFonts w:ascii="Arial" w:hAnsi="Arial" w:cs="Arial"/>
        </w:rPr>
      </w:pPr>
      <w:r>
        <w:rPr>
          <w:rFonts w:ascii="Arial" w:hAnsi="Arial" w:cs="Arial"/>
        </w:rPr>
        <w:t>Additionally, the states may allocate a portion of this to traditional consumer education activities using traditional media such as broadcast television</w:t>
      </w:r>
      <w:r w:rsidR="00C72B3C">
        <w:rPr>
          <w:rFonts w:ascii="Arial" w:hAnsi="Arial" w:cs="Arial"/>
        </w:rPr>
        <w:t>,</w:t>
      </w:r>
      <w:r>
        <w:rPr>
          <w:rFonts w:ascii="Arial" w:hAnsi="Arial" w:cs="Arial"/>
        </w:rPr>
        <w:t xml:space="preserve"> radio, </w:t>
      </w:r>
      <w:r w:rsidR="00C72B3C">
        <w:rPr>
          <w:rFonts w:ascii="Arial" w:hAnsi="Arial" w:cs="Arial"/>
        </w:rPr>
        <w:t xml:space="preserve">social media </w:t>
      </w:r>
      <w:r>
        <w:rPr>
          <w:rFonts w:ascii="Arial" w:hAnsi="Arial" w:cs="Arial"/>
        </w:rPr>
        <w:t>a</w:t>
      </w:r>
      <w:r w:rsidR="00C72B3C">
        <w:rPr>
          <w:rFonts w:ascii="Arial" w:hAnsi="Arial" w:cs="Arial"/>
        </w:rPr>
        <w:t>nd</w:t>
      </w:r>
      <w:r>
        <w:rPr>
          <w:rFonts w:ascii="Arial" w:hAnsi="Arial" w:cs="Arial"/>
        </w:rPr>
        <w:t xml:space="preserve"> internet </w:t>
      </w:r>
      <w:r w:rsidRPr="00996C45">
        <w:rPr>
          <w:rFonts w:ascii="Arial" w:hAnsi="Arial" w:cs="Arial"/>
        </w:rPr>
        <w:t>communications.  Using broadcast media allows the industry to provide a small bit of information</w:t>
      </w:r>
      <w:r>
        <w:rPr>
          <w:rFonts w:ascii="Arial" w:hAnsi="Arial" w:cs="Arial"/>
        </w:rPr>
        <w:t xml:space="preserve"> to consumers which might help them make decisions regarding Oilheat/Bioheat fuel.  These consumer education activities will also provide information on energy efficiency and improvements to the equipment.</w:t>
      </w:r>
    </w:p>
    <w:p w14:paraId="3C27CC0E" w14:textId="77777777" w:rsidR="000C5287" w:rsidRDefault="000C5287" w:rsidP="000C5287">
      <w:pPr>
        <w:rPr>
          <w:rFonts w:ascii="Arial" w:hAnsi="Arial" w:cs="Arial"/>
          <w:b/>
          <w:bCs/>
          <w:i/>
          <w:iCs/>
          <w:noProof/>
        </w:rPr>
      </w:pPr>
    </w:p>
    <w:p w14:paraId="5DCC0CAE" w14:textId="77777777" w:rsidR="000C5287" w:rsidRDefault="000C5287" w:rsidP="000C5287">
      <w:pPr>
        <w:rPr>
          <w:rFonts w:ascii="Arial" w:hAnsi="Arial" w:cs="Arial"/>
          <w:noProof/>
        </w:rPr>
      </w:pPr>
      <w:r>
        <w:rPr>
          <w:rFonts w:ascii="Arial" w:hAnsi="Arial" w:cs="Arial"/>
          <w:b/>
          <w:bCs/>
          <w:i/>
          <w:iCs/>
          <w:noProof/>
        </w:rPr>
        <w:t>Research and Development</w:t>
      </w:r>
      <w:r>
        <w:rPr>
          <w:rFonts w:ascii="Arial" w:hAnsi="Arial" w:cs="Arial"/>
          <w:i/>
          <w:iCs/>
          <w:noProof/>
        </w:rPr>
        <w:t xml:space="preserve"> </w:t>
      </w:r>
    </w:p>
    <w:p w14:paraId="780F46A6" w14:textId="77777777" w:rsidR="000C5287" w:rsidRDefault="000C5287" w:rsidP="000C5287">
      <w:pPr>
        <w:rPr>
          <w:rFonts w:ascii="Arial" w:hAnsi="Arial" w:cs="Arial"/>
          <w:noProof/>
        </w:rPr>
      </w:pPr>
    </w:p>
    <w:p w14:paraId="7D164D88" w14:textId="61E16E63" w:rsidR="000C5287" w:rsidRDefault="000C5287" w:rsidP="000C5287">
      <w:pPr>
        <w:rPr>
          <w:rFonts w:ascii="Arial" w:hAnsi="Arial" w:cs="Arial"/>
          <w:noProof/>
        </w:rPr>
      </w:pPr>
      <w:r>
        <w:rPr>
          <w:rFonts w:ascii="Arial" w:hAnsi="Arial" w:cs="Arial"/>
          <w:noProof/>
        </w:rPr>
        <w:t>The Act requires the Alliance to provide for research, development, and demonstration of clean and efficient oilheat utilization equipment.  The Alliance anticipates expending approximately $</w:t>
      </w:r>
      <w:r w:rsidR="00996C45">
        <w:rPr>
          <w:rFonts w:ascii="Arial" w:hAnsi="Arial" w:cs="Arial"/>
          <w:noProof/>
        </w:rPr>
        <w:t>2</w:t>
      </w:r>
      <w:r>
        <w:rPr>
          <w:rFonts w:ascii="Arial" w:hAnsi="Arial" w:cs="Arial"/>
          <w:noProof/>
        </w:rPr>
        <w:t>,</w:t>
      </w:r>
      <w:r w:rsidR="000F4427">
        <w:rPr>
          <w:rFonts w:ascii="Arial" w:hAnsi="Arial" w:cs="Arial"/>
          <w:noProof/>
        </w:rPr>
        <w:t>168</w:t>
      </w:r>
      <w:r w:rsidR="00996C45">
        <w:rPr>
          <w:rFonts w:ascii="Arial" w:hAnsi="Arial" w:cs="Arial"/>
          <w:noProof/>
        </w:rPr>
        <w:t>,</w:t>
      </w:r>
      <w:r w:rsidR="005945F2">
        <w:rPr>
          <w:rFonts w:ascii="Arial" w:hAnsi="Arial" w:cs="Arial"/>
          <w:noProof/>
        </w:rPr>
        <w:t>88</w:t>
      </w:r>
      <w:r w:rsidR="00C72B3C">
        <w:rPr>
          <w:rFonts w:ascii="Arial" w:hAnsi="Arial" w:cs="Arial"/>
          <w:noProof/>
        </w:rPr>
        <w:t>1</w:t>
      </w:r>
      <w:r>
        <w:rPr>
          <w:rFonts w:ascii="Arial" w:hAnsi="Arial" w:cs="Arial"/>
          <w:noProof/>
        </w:rPr>
        <w:t xml:space="preserve"> being directly allocated to research and development activities in 202</w:t>
      </w:r>
      <w:r w:rsidR="005945F2">
        <w:rPr>
          <w:rFonts w:ascii="Arial" w:hAnsi="Arial" w:cs="Arial"/>
          <w:noProof/>
        </w:rPr>
        <w:t>6</w:t>
      </w:r>
      <w:r>
        <w:rPr>
          <w:rFonts w:ascii="Arial" w:hAnsi="Arial" w:cs="Arial"/>
          <w:noProof/>
        </w:rPr>
        <w:t>, and $</w:t>
      </w:r>
      <w:r w:rsidR="00C72B3C">
        <w:rPr>
          <w:rFonts w:ascii="Arial" w:hAnsi="Arial" w:cs="Arial"/>
          <w:noProof/>
        </w:rPr>
        <w:t>2,103,814</w:t>
      </w:r>
      <w:r>
        <w:rPr>
          <w:rFonts w:ascii="Arial" w:hAnsi="Arial" w:cs="Arial"/>
          <w:noProof/>
        </w:rPr>
        <w:t xml:space="preserve"> in 202</w:t>
      </w:r>
      <w:r w:rsidR="00996C45">
        <w:rPr>
          <w:rFonts w:ascii="Arial" w:hAnsi="Arial" w:cs="Arial"/>
          <w:noProof/>
        </w:rPr>
        <w:t>5</w:t>
      </w:r>
      <w:r>
        <w:rPr>
          <w:rFonts w:ascii="Arial" w:hAnsi="Arial" w:cs="Arial"/>
          <w:noProof/>
        </w:rPr>
        <w:t>.  Of this, $1,</w:t>
      </w:r>
      <w:r w:rsidR="005945F2">
        <w:rPr>
          <w:rFonts w:ascii="Arial" w:hAnsi="Arial" w:cs="Arial"/>
          <w:noProof/>
        </w:rPr>
        <w:t>4</w:t>
      </w:r>
      <w:r>
        <w:rPr>
          <w:rFonts w:ascii="Arial" w:hAnsi="Arial" w:cs="Arial"/>
          <w:noProof/>
        </w:rPr>
        <w:t>70,000 will be directly funded by the central office</w:t>
      </w:r>
      <w:r w:rsidR="002047E4">
        <w:rPr>
          <w:rFonts w:ascii="Arial" w:hAnsi="Arial" w:cs="Arial"/>
          <w:noProof/>
        </w:rPr>
        <w:t xml:space="preserve"> in 2026 and $$1,425,900 dollars in 2027</w:t>
      </w:r>
      <w:r>
        <w:rPr>
          <w:rFonts w:ascii="Arial" w:hAnsi="Arial" w:cs="Arial"/>
          <w:noProof/>
        </w:rPr>
        <w:t xml:space="preserve">.  At a minimum, the research and development program will be </w:t>
      </w:r>
      <w:r w:rsidR="002047E4">
        <w:rPr>
          <w:rFonts w:ascii="Arial" w:hAnsi="Arial" w:cs="Arial"/>
          <w:noProof/>
        </w:rPr>
        <w:t>30</w:t>
      </w:r>
      <w:r>
        <w:rPr>
          <w:rFonts w:ascii="Arial" w:hAnsi="Arial" w:cs="Arial"/>
          <w:noProof/>
        </w:rPr>
        <w:t xml:space="preserve">% of the budget.  </w:t>
      </w:r>
    </w:p>
    <w:p w14:paraId="5BA944BA" w14:textId="77777777" w:rsidR="000C5287" w:rsidRDefault="000C5287" w:rsidP="000C5287">
      <w:pPr>
        <w:rPr>
          <w:rFonts w:ascii="Arial" w:hAnsi="Arial" w:cs="Arial"/>
          <w:noProof/>
        </w:rPr>
      </w:pPr>
    </w:p>
    <w:p w14:paraId="07BE8A30" w14:textId="77777777" w:rsidR="000C5287" w:rsidRDefault="000C5287" w:rsidP="000C5287">
      <w:pPr>
        <w:rPr>
          <w:rFonts w:ascii="Arial" w:hAnsi="Arial" w:cs="Arial"/>
          <w:noProof/>
        </w:rPr>
      </w:pPr>
      <w:r>
        <w:rPr>
          <w:rFonts w:ascii="Arial" w:hAnsi="Arial" w:cs="Arial"/>
          <w:noProof/>
        </w:rPr>
        <w:t xml:space="preserve">NORA is operating a research and development laboratory in New York.  Staffing for that  includes a full time director, as well as 2 research engineers, and a supporting technical expert.   Additionally, NORA will continue to fund and develop new projects based on its research review meeting which established priorities for the industry, including biofuels, controls, novel burner technologies, and new appliances.  </w:t>
      </w:r>
    </w:p>
    <w:p w14:paraId="33C7F528" w14:textId="77777777" w:rsidR="000C5287" w:rsidRDefault="000C5287" w:rsidP="000C5287">
      <w:pPr>
        <w:rPr>
          <w:rFonts w:ascii="Arial" w:hAnsi="Arial" w:cs="Arial"/>
          <w:noProof/>
        </w:rPr>
      </w:pPr>
    </w:p>
    <w:p w14:paraId="34E90890" w14:textId="67298F56" w:rsidR="002047E4" w:rsidRPr="002047E4" w:rsidRDefault="000C5287" w:rsidP="002047E4">
      <w:pPr>
        <w:ind w:right="720"/>
        <w:rPr>
          <w:rFonts w:ascii="Arial" w:hAnsi="Arial" w:cs="Arial"/>
        </w:rPr>
      </w:pPr>
      <w:r w:rsidRPr="002047E4">
        <w:rPr>
          <w:rFonts w:ascii="Arial" w:hAnsi="Arial" w:cs="Arial"/>
        </w:rPr>
        <w:t xml:space="preserve">Under the revised statute, there are additional responsibilities which include the transition and facilitation of the entry of energy efficient heating systems into the marketplace.  </w:t>
      </w:r>
      <w:r w:rsidR="002047E4">
        <w:rPr>
          <w:rFonts w:ascii="Arial" w:hAnsi="Arial" w:cs="Arial"/>
        </w:rPr>
        <w:t xml:space="preserve">Additionally, </w:t>
      </w:r>
      <w:r w:rsidR="002047E4" w:rsidRPr="002047E4">
        <w:rPr>
          <w:rFonts w:ascii="Arial" w:hAnsi="Arial" w:cs="Arial"/>
        </w:rPr>
        <w:t xml:space="preserve">all </w:t>
      </w:r>
      <w:r w:rsidR="002047E4">
        <w:rPr>
          <w:rFonts w:ascii="Arial" w:hAnsi="Arial" w:cs="Arial"/>
        </w:rPr>
        <w:t xml:space="preserve">NORA </w:t>
      </w:r>
      <w:r w:rsidR="002047E4" w:rsidRPr="002047E4">
        <w:rPr>
          <w:rFonts w:ascii="Arial" w:hAnsi="Arial" w:cs="Arial"/>
        </w:rPr>
        <w:t>activities incidental to research, development, and</w:t>
      </w:r>
      <w:r w:rsidR="002047E4">
        <w:rPr>
          <w:rFonts w:ascii="Arial" w:hAnsi="Arial" w:cs="Arial"/>
        </w:rPr>
        <w:t xml:space="preserve"> </w:t>
      </w:r>
      <w:r w:rsidR="002047E4" w:rsidRPr="002047E4">
        <w:rPr>
          <w:rFonts w:ascii="Arial" w:hAnsi="Arial" w:cs="Arial"/>
        </w:rPr>
        <w:t>demonstration of clean and efficient oil</w:t>
      </w:r>
      <w:r w:rsidR="002047E4">
        <w:rPr>
          <w:rFonts w:ascii="Arial" w:hAnsi="Arial" w:cs="Arial"/>
        </w:rPr>
        <w:t xml:space="preserve"> </w:t>
      </w:r>
      <w:r w:rsidR="002047E4" w:rsidRPr="002047E4">
        <w:rPr>
          <w:rFonts w:ascii="Arial" w:hAnsi="Arial" w:cs="Arial"/>
        </w:rPr>
        <w:t>heat fuel utilization</w:t>
      </w:r>
    </w:p>
    <w:p w14:paraId="1914CF55" w14:textId="17D52643" w:rsidR="000C5287" w:rsidRDefault="002047E4" w:rsidP="002047E4">
      <w:pPr>
        <w:ind w:right="720"/>
        <w:rPr>
          <w:rFonts w:ascii="Arial" w:hAnsi="Arial" w:cs="Arial"/>
        </w:rPr>
      </w:pPr>
      <w:r w:rsidRPr="002047E4">
        <w:rPr>
          <w:rFonts w:ascii="Arial" w:hAnsi="Arial" w:cs="Arial"/>
        </w:rPr>
        <w:t>equipment, including research to develop renewable fuels and to</w:t>
      </w:r>
      <w:r>
        <w:rPr>
          <w:rFonts w:ascii="Arial" w:hAnsi="Arial" w:cs="Arial"/>
        </w:rPr>
        <w:t xml:space="preserve"> </w:t>
      </w:r>
      <w:r w:rsidRPr="002047E4">
        <w:rPr>
          <w:rFonts w:ascii="Arial" w:hAnsi="Arial" w:cs="Arial"/>
        </w:rPr>
        <w:t>examine the compatibility of different renewable fuels with oil</w:t>
      </w:r>
      <w:r>
        <w:rPr>
          <w:rFonts w:ascii="Arial" w:hAnsi="Arial" w:cs="Arial"/>
        </w:rPr>
        <w:t xml:space="preserve"> </w:t>
      </w:r>
      <w:r w:rsidRPr="002047E4">
        <w:rPr>
          <w:rFonts w:ascii="Arial" w:hAnsi="Arial" w:cs="Arial"/>
        </w:rPr>
        <w:t>heat</w:t>
      </w:r>
      <w:r>
        <w:rPr>
          <w:rFonts w:ascii="Arial" w:hAnsi="Arial" w:cs="Arial"/>
        </w:rPr>
        <w:t xml:space="preserve"> </w:t>
      </w:r>
      <w:r w:rsidRPr="002047E4">
        <w:rPr>
          <w:rFonts w:ascii="Arial" w:hAnsi="Arial" w:cs="Arial"/>
        </w:rPr>
        <w:t>fuel utilization equipment, with priority given to research on the</w:t>
      </w:r>
      <w:r>
        <w:rPr>
          <w:rFonts w:ascii="Arial" w:hAnsi="Arial" w:cs="Arial"/>
        </w:rPr>
        <w:t xml:space="preserve"> </w:t>
      </w:r>
      <w:r w:rsidRPr="002047E4">
        <w:rPr>
          <w:rFonts w:ascii="Arial" w:hAnsi="Arial" w:cs="Arial"/>
        </w:rPr>
        <w:t>development and use of advanced biofuels</w:t>
      </w:r>
      <w:r>
        <w:rPr>
          <w:rFonts w:ascii="Arial" w:hAnsi="Arial" w:cs="Arial"/>
        </w:rPr>
        <w:t>.  NORA crated a</w:t>
      </w:r>
      <w:r w:rsidR="000C5287" w:rsidRPr="002047E4">
        <w:rPr>
          <w:rFonts w:ascii="Arial" w:hAnsi="Arial" w:cs="Arial"/>
        </w:rPr>
        <w:t xml:space="preserve"> report on biofuels in oilheat fuel utilization equipment, and the development of consumer education materials describing the benefits of using biofuels in oilheat fuel is also a core function of research and development in the act.  </w:t>
      </w:r>
    </w:p>
    <w:p w14:paraId="4E62B483" w14:textId="77777777" w:rsidR="000C5287" w:rsidRDefault="000C5287" w:rsidP="000C5287">
      <w:pPr>
        <w:ind w:right="720"/>
        <w:rPr>
          <w:rFonts w:ascii="Arial" w:hAnsi="Arial" w:cs="Arial"/>
        </w:rPr>
      </w:pPr>
    </w:p>
    <w:p w14:paraId="3BB3EE1E" w14:textId="77777777" w:rsidR="000C5287" w:rsidRDefault="000C5287" w:rsidP="000C5287">
      <w:pPr>
        <w:ind w:right="720"/>
        <w:rPr>
          <w:rFonts w:ascii="Arial" w:hAnsi="Arial" w:cs="Arial"/>
        </w:rPr>
      </w:pPr>
      <w:r>
        <w:rPr>
          <w:rFonts w:ascii="Arial" w:hAnsi="Arial" w:cs="Arial"/>
        </w:rPr>
        <w:t xml:space="preserve">NORA anticipates that the core of its fundamental research will occur at the NORA laboratory in Plainview New York, while more product development projects will occur through funded projects.  NORA will continue to work with the New York State Energy Research and Development Authority and the Clean Fuels Alliance America to advance the liquid heating industry.   </w:t>
      </w:r>
    </w:p>
    <w:p w14:paraId="00C2B74A" w14:textId="77777777" w:rsidR="000C5287" w:rsidRDefault="000C5287" w:rsidP="000C5287">
      <w:pPr>
        <w:ind w:right="720"/>
        <w:rPr>
          <w:rFonts w:ascii="Arial" w:hAnsi="Arial" w:cs="Arial"/>
        </w:rPr>
      </w:pPr>
    </w:p>
    <w:p w14:paraId="48FE42D0" w14:textId="77777777" w:rsidR="000C5287" w:rsidRDefault="000C5287" w:rsidP="000C5287">
      <w:pPr>
        <w:ind w:right="720"/>
        <w:rPr>
          <w:rFonts w:ascii="Arial" w:hAnsi="Arial" w:cs="Arial"/>
        </w:rPr>
      </w:pPr>
    </w:p>
    <w:p w14:paraId="5D55F07E" w14:textId="77777777" w:rsidR="000C5287" w:rsidRDefault="000C5287" w:rsidP="000C5287">
      <w:pPr>
        <w:pStyle w:val="Heading1"/>
      </w:pPr>
      <w:r>
        <w:t>Energy Efficiency</w:t>
      </w:r>
    </w:p>
    <w:p w14:paraId="44F7E94A" w14:textId="77777777" w:rsidR="000C5287" w:rsidRDefault="000C5287" w:rsidP="000C5287">
      <w:pPr>
        <w:pStyle w:val="Heading1"/>
      </w:pPr>
    </w:p>
    <w:p w14:paraId="75BD9BB7" w14:textId="283309C3" w:rsidR="000C5287" w:rsidRDefault="000C5287" w:rsidP="000C5287">
      <w:pPr>
        <w:pStyle w:val="BodyText"/>
        <w:rPr>
          <w:rFonts w:ascii="Arial" w:hAnsi="Arial" w:cs="Arial"/>
        </w:rPr>
      </w:pPr>
      <w:r>
        <w:rPr>
          <w:rFonts w:ascii="Arial" w:hAnsi="Arial" w:cs="Arial"/>
        </w:rPr>
        <w:t>The Act also includes a requirement on “Heating Oil Efficiency and Upgrade Program.  The Alliance has budgeted $</w:t>
      </w:r>
      <w:r w:rsidR="006B4773">
        <w:rPr>
          <w:rFonts w:ascii="Arial" w:hAnsi="Arial" w:cs="Arial"/>
        </w:rPr>
        <w:t>906</w:t>
      </w:r>
      <w:r>
        <w:rPr>
          <w:rFonts w:ascii="Arial" w:hAnsi="Arial" w:cs="Arial"/>
        </w:rPr>
        <w:t>,</w:t>
      </w:r>
      <w:r w:rsidR="006B4773">
        <w:rPr>
          <w:rFonts w:ascii="Arial" w:hAnsi="Arial" w:cs="Arial"/>
        </w:rPr>
        <w:t>439</w:t>
      </w:r>
      <w:r>
        <w:rPr>
          <w:rFonts w:ascii="Arial" w:hAnsi="Arial" w:cs="Arial"/>
        </w:rPr>
        <w:t xml:space="preserve"> in 202</w:t>
      </w:r>
      <w:r w:rsidR="005945F2">
        <w:rPr>
          <w:rFonts w:ascii="Arial" w:hAnsi="Arial" w:cs="Arial"/>
        </w:rPr>
        <w:t>6</w:t>
      </w:r>
      <w:r>
        <w:rPr>
          <w:rFonts w:ascii="Arial" w:hAnsi="Arial" w:cs="Arial"/>
        </w:rPr>
        <w:t xml:space="preserve"> and $</w:t>
      </w:r>
      <w:r w:rsidR="006B4773">
        <w:rPr>
          <w:rFonts w:ascii="Arial" w:hAnsi="Arial" w:cs="Arial"/>
        </w:rPr>
        <w:t>879,246</w:t>
      </w:r>
      <w:r>
        <w:rPr>
          <w:rFonts w:ascii="Arial" w:hAnsi="Arial" w:cs="Arial"/>
        </w:rPr>
        <w:t xml:space="preserve"> in 202</w:t>
      </w:r>
      <w:r w:rsidR="005945F2">
        <w:rPr>
          <w:rFonts w:ascii="Arial" w:hAnsi="Arial" w:cs="Arial"/>
        </w:rPr>
        <w:t>7</w:t>
      </w:r>
      <w:r>
        <w:rPr>
          <w:rFonts w:ascii="Arial" w:hAnsi="Arial" w:cs="Arial"/>
        </w:rPr>
        <w:t>.</w:t>
      </w:r>
    </w:p>
    <w:p w14:paraId="060BA189" w14:textId="77777777" w:rsidR="000C5287" w:rsidRDefault="000C5287" w:rsidP="000C5287">
      <w:pPr>
        <w:pStyle w:val="BodyText"/>
        <w:rPr>
          <w:rFonts w:ascii="Arial" w:hAnsi="Arial" w:cs="Arial"/>
        </w:rPr>
      </w:pPr>
    </w:p>
    <w:p w14:paraId="0740C789" w14:textId="2ABBD7F0" w:rsidR="000C5287" w:rsidRDefault="000C5287" w:rsidP="000C5287">
      <w:pPr>
        <w:pStyle w:val="BodyText"/>
        <w:rPr>
          <w:rFonts w:ascii="Arial" w:hAnsi="Arial" w:cs="Arial"/>
        </w:rPr>
      </w:pPr>
      <w:r>
        <w:rPr>
          <w:rFonts w:ascii="Arial" w:hAnsi="Arial" w:cs="Arial"/>
        </w:rPr>
        <w:t>There are three main tasks under this section, and at least 1</w:t>
      </w:r>
      <w:r w:rsidR="006B4773">
        <w:rPr>
          <w:rFonts w:ascii="Arial" w:hAnsi="Arial" w:cs="Arial"/>
        </w:rPr>
        <w:t>5</w:t>
      </w:r>
      <w:r>
        <w:rPr>
          <w:rFonts w:ascii="Arial" w:hAnsi="Arial" w:cs="Arial"/>
        </w:rPr>
        <w:t xml:space="preserve"> percent of the assessments shall be used to assist consumers to </w:t>
      </w:r>
    </w:p>
    <w:p w14:paraId="5B33802D" w14:textId="77777777" w:rsidR="000C5287" w:rsidRDefault="000C5287" w:rsidP="000C5287">
      <w:pPr>
        <w:pStyle w:val="BodyText"/>
        <w:rPr>
          <w:rFonts w:ascii="Arial" w:hAnsi="Arial" w:cs="Arial"/>
        </w:rPr>
      </w:pPr>
    </w:p>
    <w:p w14:paraId="61C91B08" w14:textId="77777777" w:rsidR="000C5287" w:rsidRDefault="000C5287" w:rsidP="000C5287">
      <w:pPr>
        <w:pStyle w:val="BodyText"/>
        <w:numPr>
          <w:ilvl w:val="0"/>
          <w:numId w:val="1"/>
        </w:numPr>
        <w:rPr>
          <w:rFonts w:ascii="Arial" w:hAnsi="Arial" w:cs="Arial"/>
        </w:rPr>
      </w:pPr>
      <w:r>
        <w:rPr>
          <w:rFonts w:ascii="Arial" w:hAnsi="Arial" w:cs="Arial"/>
        </w:rPr>
        <w:t xml:space="preserve">Make cost effective upgrades to more fuel-efficient modifications to an existing heating system or otherwise make cost-effective modifications to an existing heating system to improve the efficiency of the system.  </w:t>
      </w:r>
    </w:p>
    <w:p w14:paraId="7B1EF631" w14:textId="77777777" w:rsidR="000C5287" w:rsidRDefault="000C5287" w:rsidP="000C5287">
      <w:pPr>
        <w:pStyle w:val="BodyText"/>
        <w:numPr>
          <w:ilvl w:val="0"/>
          <w:numId w:val="1"/>
        </w:numPr>
        <w:rPr>
          <w:rFonts w:ascii="Arial" w:hAnsi="Arial" w:cs="Arial"/>
        </w:rPr>
      </w:pPr>
      <w:r>
        <w:rPr>
          <w:rFonts w:ascii="Arial" w:hAnsi="Arial" w:cs="Arial"/>
        </w:rPr>
        <w:t>To improve energy efficiency or reduce energy consumption through cost-effective energy efficiency programs for consumers, or</w:t>
      </w:r>
    </w:p>
    <w:p w14:paraId="6DD7B267" w14:textId="77777777" w:rsidR="000C5287" w:rsidRDefault="000C5287" w:rsidP="000C5287">
      <w:pPr>
        <w:pStyle w:val="BodyText"/>
        <w:numPr>
          <w:ilvl w:val="0"/>
          <w:numId w:val="1"/>
        </w:numPr>
        <w:rPr>
          <w:rFonts w:ascii="Arial" w:hAnsi="Arial" w:cs="Arial"/>
        </w:rPr>
      </w:pPr>
      <w:r>
        <w:rPr>
          <w:rFonts w:ascii="Arial" w:hAnsi="Arial" w:cs="Arial"/>
        </w:rPr>
        <w:t>To improve the safe operation of the system</w:t>
      </w:r>
    </w:p>
    <w:p w14:paraId="06E41C52" w14:textId="77777777" w:rsidR="000C5287" w:rsidRDefault="000C5287" w:rsidP="000C5287">
      <w:pPr>
        <w:pStyle w:val="BodyText"/>
        <w:rPr>
          <w:rFonts w:ascii="Arial" w:hAnsi="Arial" w:cs="Arial"/>
        </w:rPr>
      </w:pPr>
    </w:p>
    <w:p w14:paraId="781F35DA" w14:textId="77777777" w:rsidR="000C5287" w:rsidRDefault="000C5287" w:rsidP="000C5287">
      <w:pPr>
        <w:pStyle w:val="BodyText"/>
        <w:rPr>
          <w:rFonts w:ascii="Arial" w:hAnsi="Arial" w:cs="Arial"/>
        </w:rPr>
      </w:pPr>
      <w:r>
        <w:rPr>
          <w:rFonts w:ascii="Arial" w:hAnsi="Arial" w:cs="Arial"/>
        </w:rPr>
        <w:t>In carrying out this section, the Alliance shall to the maximum extent practicable coordinate, develop and implement the programs and activities of the Alliance in conjunction with an existing state energy efficiency program administrator.</w:t>
      </w:r>
    </w:p>
    <w:p w14:paraId="6061D1A6" w14:textId="5ED89C48" w:rsidR="000C5287" w:rsidRDefault="000C5287" w:rsidP="000C5287">
      <w:pPr>
        <w:pStyle w:val="BodyText"/>
        <w:rPr>
          <w:rFonts w:ascii="Arial" w:hAnsi="Arial" w:cs="Arial"/>
        </w:rPr>
      </w:pPr>
      <w:r>
        <w:rPr>
          <w:rFonts w:ascii="Arial" w:hAnsi="Arial" w:cs="Arial"/>
        </w:rPr>
        <w:t>The amount of funding in states will limit the amount of planning that is likely to occur.  NORA believes that developing a series of programs that meets the goals of this section will be essential, and then each state affiliate will be able to work to the maximum extent practicable with its state energy efficiency administrator to develop the best plan for that state.  Preliminary discussion</w:t>
      </w:r>
      <w:r w:rsidR="006B4773">
        <w:rPr>
          <w:rFonts w:ascii="Arial" w:hAnsi="Arial" w:cs="Arial"/>
        </w:rPr>
        <w:t>s</w:t>
      </w:r>
      <w:r>
        <w:rPr>
          <w:rFonts w:ascii="Arial" w:hAnsi="Arial" w:cs="Arial"/>
        </w:rPr>
        <w:t xml:space="preserve"> </w:t>
      </w:r>
      <w:r w:rsidR="00996C45">
        <w:rPr>
          <w:rFonts w:ascii="Arial" w:hAnsi="Arial" w:cs="Arial"/>
        </w:rPr>
        <w:t>have</w:t>
      </w:r>
      <w:r>
        <w:rPr>
          <w:rFonts w:ascii="Arial" w:hAnsi="Arial" w:cs="Arial"/>
        </w:rPr>
        <w:t xml:space="preserve"> indicated that better understanding of efficiency and appropriate tools to measure and improve efficiency in the home, tune-ups of existing equipment, and setback thermostats may all be invaluable in fulfilling this task.  </w:t>
      </w:r>
    </w:p>
    <w:p w14:paraId="23B4A50C" w14:textId="77777777" w:rsidR="000C5287" w:rsidRDefault="000C5287" w:rsidP="000C5287">
      <w:pPr>
        <w:pStyle w:val="BodyText"/>
        <w:rPr>
          <w:rFonts w:ascii="Arial" w:hAnsi="Arial" w:cs="Arial"/>
        </w:rPr>
      </w:pPr>
    </w:p>
    <w:p w14:paraId="642C8BBC" w14:textId="744FEAA2" w:rsidR="000C5287" w:rsidRDefault="000C5287" w:rsidP="000C5287">
      <w:pPr>
        <w:pStyle w:val="BodyText"/>
        <w:rPr>
          <w:rFonts w:ascii="Arial" w:hAnsi="Arial" w:cs="Arial"/>
        </w:rPr>
      </w:pPr>
      <w:r>
        <w:rPr>
          <w:rFonts w:ascii="Arial" w:hAnsi="Arial" w:cs="Arial"/>
        </w:rPr>
        <w:t>States will receive $</w:t>
      </w:r>
      <w:r w:rsidR="006B4773">
        <w:rPr>
          <w:rFonts w:ascii="Arial" w:hAnsi="Arial" w:cs="Arial"/>
        </w:rPr>
        <w:t>836,439</w:t>
      </w:r>
      <w:r>
        <w:rPr>
          <w:rFonts w:ascii="Arial" w:hAnsi="Arial" w:cs="Arial"/>
        </w:rPr>
        <w:t xml:space="preserve"> in 202</w:t>
      </w:r>
      <w:r w:rsidR="005945F2">
        <w:rPr>
          <w:rFonts w:ascii="Arial" w:hAnsi="Arial" w:cs="Arial"/>
        </w:rPr>
        <w:t>6</w:t>
      </w:r>
      <w:r>
        <w:rPr>
          <w:rFonts w:ascii="Arial" w:hAnsi="Arial" w:cs="Arial"/>
        </w:rPr>
        <w:t xml:space="preserve"> and 8</w:t>
      </w:r>
      <w:r w:rsidR="006B4773">
        <w:rPr>
          <w:rFonts w:ascii="Arial" w:hAnsi="Arial" w:cs="Arial"/>
        </w:rPr>
        <w:t>06,496</w:t>
      </w:r>
      <w:r>
        <w:rPr>
          <w:rFonts w:ascii="Arial" w:hAnsi="Arial" w:cs="Arial"/>
        </w:rPr>
        <w:t xml:space="preserve"> in 202</w:t>
      </w:r>
      <w:r w:rsidR="005945F2">
        <w:rPr>
          <w:rFonts w:ascii="Arial" w:hAnsi="Arial" w:cs="Arial"/>
        </w:rPr>
        <w:t>7</w:t>
      </w:r>
      <w:r>
        <w:rPr>
          <w:rFonts w:ascii="Arial" w:hAnsi="Arial" w:cs="Arial"/>
        </w:rPr>
        <w:t xml:space="preserve"> to carry out and implement energy efficiency program activities. </w:t>
      </w:r>
    </w:p>
    <w:p w14:paraId="1BF984FD" w14:textId="77777777" w:rsidR="000C5287" w:rsidRDefault="000C5287" w:rsidP="000C5287">
      <w:pPr>
        <w:pStyle w:val="BodyText"/>
        <w:rPr>
          <w:rFonts w:ascii="Arial" w:hAnsi="Arial" w:cs="Arial"/>
        </w:rPr>
      </w:pPr>
    </w:p>
    <w:p w14:paraId="4E6FA1A5" w14:textId="77777777" w:rsidR="000C5287" w:rsidRDefault="000C5287" w:rsidP="000C5287">
      <w:pPr>
        <w:pStyle w:val="BodyText"/>
        <w:rPr>
          <w:rFonts w:ascii="Arial" w:hAnsi="Arial" w:cs="Arial"/>
          <w:b/>
          <w:i/>
          <w:u w:val="single"/>
        </w:rPr>
      </w:pPr>
      <w:r w:rsidRPr="00E00B5D">
        <w:rPr>
          <w:rFonts w:ascii="Arial" w:hAnsi="Arial" w:cs="Arial"/>
          <w:b/>
          <w:i/>
          <w:u w:val="single"/>
        </w:rPr>
        <w:t>State Rebates</w:t>
      </w:r>
    </w:p>
    <w:p w14:paraId="2B991893" w14:textId="77777777" w:rsidR="000C5287" w:rsidRDefault="000C5287" w:rsidP="000C5287">
      <w:pPr>
        <w:pStyle w:val="BodyText"/>
        <w:rPr>
          <w:rFonts w:ascii="Arial" w:hAnsi="Arial" w:cs="Arial"/>
          <w:b/>
          <w:i/>
          <w:u w:val="single"/>
        </w:rPr>
      </w:pPr>
    </w:p>
    <w:p w14:paraId="2B508CE1" w14:textId="20A37A5A" w:rsidR="000C5287" w:rsidRDefault="000C5287" w:rsidP="000C5287">
      <w:pPr>
        <w:pStyle w:val="BodyText"/>
        <w:rPr>
          <w:rFonts w:ascii="Arial" w:hAnsi="Arial" w:cs="Arial"/>
        </w:rPr>
      </w:pPr>
      <w:r>
        <w:rPr>
          <w:rFonts w:ascii="Arial" w:hAnsi="Arial" w:cs="Arial"/>
        </w:rPr>
        <w:t>NORA’s Board has indicated a continued desire to utilize the state resources to implement the program.  Thus, funds not specifically allocated to programs in accordance with this budget will be subject to the decision making of the states.  Currently, $</w:t>
      </w:r>
      <w:r w:rsidR="005945F2">
        <w:rPr>
          <w:rFonts w:ascii="Arial" w:hAnsi="Arial" w:cs="Arial"/>
        </w:rPr>
        <w:t>21</w:t>
      </w:r>
      <w:r w:rsidR="006B4773">
        <w:rPr>
          <w:rFonts w:ascii="Arial" w:hAnsi="Arial" w:cs="Arial"/>
        </w:rPr>
        <w:t>6</w:t>
      </w:r>
      <w:r w:rsidR="005945F2">
        <w:rPr>
          <w:rFonts w:ascii="Arial" w:hAnsi="Arial" w:cs="Arial"/>
        </w:rPr>
        <w:t>,</w:t>
      </w:r>
      <w:r w:rsidR="006B4773">
        <w:rPr>
          <w:rFonts w:ascii="Arial" w:hAnsi="Arial" w:cs="Arial"/>
        </w:rPr>
        <w:t>536</w:t>
      </w:r>
      <w:r>
        <w:rPr>
          <w:rFonts w:ascii="Arial" w:hAnsi="Arial" w:cs="Arial"/>
        </w:rPr>
        <w:t xml:space="preserve"> in 202</w:t>
      </w:r>
      <w:r w:rsidR="005945F2">
        <w:rPr>
          <w:rFonts w:ascii="Arial" w:hAnsi="Arial" w:cs="Arial"/>
        </w:rPr>
        <w:t>6</w:t>
      </w:r>
      <w:r>
        <w:rPr>
          <w:rFonts w:ascii="Arial" w:hAnsi="Arial" w:cs="Arial"/>
        </w:rPr>
        <w:t>, and $</w:t>
      </w:r>
      <w:r w:rsidR="006B4773">
        <w:rPr>
          <w:rFonts w:ascii="Arial" w:hAnsi="Arial" w:cs="Arial"/>
        </w:rPr>
        <w:t>188,765</w:t>
      </w:r>
      <w:r>
        <w:rPr>
          <w:rFonts w:ascii="Arial" w:hAnsi="Arial" w:cs="Arial"/>
        </w:rPr>
        <w:t xml:space="preserve"> in 202</w:t>
      </w:r>
      <w:r w:rsidR="005945F2">
        <w:rPr>
          <w:rFonts w:ascii="Arial" w:hAnsi="Arial" w:cs="Arial"/>
        </w:rPr>
        <w:t>7</w:t>
      </w:r>
      <w:r>
        <w:rPr>
          <w:rFonts w:ascii="Arial" w:hAnsi="Arial" w:cs="Arial"/>
        </w:rPr>
        <w:t xml:space="preserve">.  </w:t>
      </w:r>
    </w:p>
    <w:p w14:paraId="4C396689" w14:textId="77777777" w:rsidR="000C5287" w:rsidRDefault="000C5287" w:rsidP="000C5287">
      <w:pPr>
        <w:pStyle w:val="BodyText"/>
        <w:rPr>
          <w:rFonts w:ascii="Arial" w:hAnsi="Arial" w:cs="Arial"/>
          <w:b/>
        </w:rPr>
      </w:pPr>
    </w:p>
    <w:p w14:paraId="511F6498" w14:textId="77777777" w:rsidR="000C5287" w:rsidRDefault="000C5287" w:rsidP="000C5287">
      <w:pPr>
        <w:pStyle w:val="BodyText"/>
        <w:rPr>
          <w:rFonts w:ascii="Arial" w:hAnsi="Arial" w:cs="Arial"/>
          <w:b/>
          <w:i/>
          <w:u w:val="single"/>
        </w:rPr>
      </w:pPr>
      <w:r>
        <w:rPr>
          <w:rFonts w:ascii="Arial" w:hAnsi="Arial" w:cs="Arial"/>
          <w:b/>
          <w:i/>
          <w:u w:val="single"/>
        </w:rPr>
        <w:t>Central Office Expenses</w:t>
      </w:r>
    </w:p>
    <w:p w14:paraId="3C62F85B" w14:textId="77777777" w:rsidR="000C5287" w:rsidRDefault="000C5287" w:rsidP="000C5287">
      <w:pPr>
        <w:pStyle w:val="BodyText"/>
        <w:rPr>
          <w:rFonts w:ascii="Arial" w:hAnsi="Arial" w:cs="Arial"/>
          <w:b/>
          <w:i/>
          <w:u w:val="single"/>
        </w:rPr>
      </w:pPr>
    </w:p>
    <w:p w14:paraId="3BDE8C6E" w14:textId="1762208C" w:rsidR="000C5287" w:rsidRDefault="000C5287" w:rsidP="000C5287">
      <w:pPr>
        <w:pStyle w:val="BodyText"/>
        <w:rPr>
          <w:rFonts w:ascii="Arial" w:hAnsi="Arial" w:cs="Arial"/>
        </w:rPr>
      </w:pPr>
      <w:r>
        <w:rPr>
          <w:rFonts w:ascii="Arial" w:hAnsi="Arial" w:cs="Arial"/>
        </w:rPr>
        <w:t>The budget provides for $3</w:t>
      </w:r>
      <w:r w:rsidR="006B4773">
        <w:rPr>
          <w:rFonts w:ascii="Arial" w:hAnsi="Arial" w:cs="Arial"/>
        </w:rPr>
        <w:t>45</w:t>
      </w:r>
      <w:r>
        <w:rPr>
          <w:rFonts w:ascii="Arial" w:hAnsi="Arial" w:cs="Arial"/>
        </w:rPr>
        <w:t>,000 to be spent on the management of the Alliance and compliance with specific program objectives in 202</w:t>
      </w:r>
      <w:r w:rsidR="006B4773">
        <w:rPr>
          <w:rFonts w:ascii="Arial" w:hAnsi="Arial" w:cs="Arial"/>
        </w:rPr>
        <w:t>6 &amp; 2027</w:t>
      </w:r>
      <w:r>
        <w:rPr>
          <w:rFonts w:ascii="Arial" w:hAnsi="Arial" w:cs="Arial"/>
        </w:rPr>
        <w:t xml:space="preserve">, and $369,000   These numbers have </w:t>
      </w:r>
      <w:r w:rsidR="005945F2">
        <w:rPr>
          <w:rFonts w:ascii="Arial" w:hAnsi="Arial" w:cs="Arial"/>
        </w:rPr>
        <w:t xml:space="preserve">been </w:t>
      </w:r>
      <w:r w:rsidR="006B4773">
        <w:rPr>
          <w:rFonts w:ascii="Arial" w:hAnsi="Arial" w:cs="Arial"/>
        </w:rPr>
        <w:t>reduced</w:t>
      </w:r>
      <w:r w:rsidR="005945F2">
        <w:rPr>
          <w:rFonts w:ascii="Arial" w:hAnsi="Arial" w:cs="Arial"/>
        </w:rPr>
        <w:t xml:space="preserve"> </w:t>
      </w:r>
      <w:r w:rsidR="006B4773">
        <w:rPr>
          <w:rFonts w:ascii="Arial" w:hAnsi="Arial" w:cs="Arial"/>
        </w:rPr>
        <w:t>from</w:t>
      </w:r>
      <w:r w:rsidR="005945F2">
        <w:rPr>
          <w:rFonts w:ascii="Arial" w:hAnsi="Arial" w:cs="Arial"/>
        </w:rPr>
        <w:t xml:space="preserve"> their </w:t>
      </w:r>
      <w:r w:rsidR="006B4773">
        <w:rPr>
          <w:rFonts w:ascii="Arial" w:hAnsi="Arial" w:cs="Arial"/>
        </w:rPr>
        <w:t>previous</w:t>
      </w:r>
      <w:r w:rsidR="005945F2">
        <w:rPr>
          <w:rFonts w:ascii="Arial" w:hAnsi="Arial" w:cs="Arial"/>
        </w:rPr>
        <w:t xml:space="preserve"> levels</w:t>
      </w:r>
      <w:r>
        <w:rPr>
          <w:rFonts w:ascii="Arial" w:hAnsi="Arial" w:cs="Arial"/>
        </w:rPr>
        <w:t xml:space="preserve"> since the last budget </w:t>
      </w:r>
      <w:r w:rsidR="006B4773">
        <w:rPr>
          <w:rFonts w:ascii="Arial" w:hAnsi="Arial" w:cs="Arial"/>
        </w:rPr>
        <w:t>due to the anticipated reduction in collection.</w:t>
      </w:r>
      <w:r>
        <w:rPr>
          <w:rFonts w:ascii="Arial" w:hAnsi="Arial" w:cs="Arial"/>
        </w:rPr>
        <w:t xml:space="preserve"> </w:t>
      </w:r>
    </w:p>
    <w:p w14:paraId="63BE3BD7" w14:textId="77777777" w:rsidR="000C5287" w:rsidRDefault="000C5287" w:rsidP="000C5287">
      <w:pPr>
        <w:pStyle w:val="BodyText"/>
        <w:rPr>
          <w:rFonts w:ascii="Arial" w:hAnsi="Arial" w:cs="Arial"/>
        </w:rPr>
      </w:pPr>
    </w:p>
    <w:p w14:paraId="140A85D1" w14:textId="77777777" w:rsidR="000C5287" w:rsidRDefault="000C5287" w:rsidP="000C5287">
      <w:pPr>
        <w:pStyle w:val="Heading3"/>
        <w:rPr>
          <w:rFonts w:ascii="Arial" w:hAnsi="Arial" w:cs="Arial"/>
        </w:rPr>
      </w:pPr>
    </w:p>
    <w:p w14:paraId="72BC6D2D" w14:textId="77777777" w:rsidR="000C5287" w:rsidRDefault="000C5287" w:rsidP="000C5287">
      <w:pPr>
        <w:pStyle w:val="Heading3"/>
        <w:rPr>
          <w:rFonts w:ascii="Arial" w:hAnsi="Arial" w:cs="Arial"/>
        </w:rPr>
      </w:pPr>
      <w:r>
        <w:rPr>
          <w:rFonts w:ascii="Arial" w:hAnsi="Arial" w:cs="Arial"/>
        </w:rPr>
        <w:t>Part V</w:t>
      </w:r>
      <w:r w:rsidRPr="00B91ACA">
        <w:rPr>
          <w:rFonts w:ascii="Arial" w:hAnsi="Arial" w:cs="Arial"/>
        </w:rPr>
        <w:t xml:space="preserve">.  </w:t>
      </w:r>
      <w:r w:rsidRPr="00B91ACA">
        <w:rPr>
          <w:rFonts w:ascii="Arial" w:hAnsi="Arial" w:cs="Arial"/>
        </w:rPr>
        <w:tab/>
        <w:t>Budget Summary</w:t>
      </w:r>
    </w:p>
    <w:p w14:paraId="41B557C6" w14:textId="77777777" w:rsidR="000C5287" w:rsidRDefault="000C5287" w:rsidP="000C5287"/>
    <w:p w14:paraId="6543F70C" w14:textId="3A3359AC" w:rsidR="00CD0DC7" w:rsidRDefault="000C5287" w:rsidP="000C5287">
      <w:r>
        <w:t>The following pages provides an income statement for 202</w:t>
      </w:r>
      <w:r w:rsidR="006B4773">
        <w:t>6</w:t>
      </w:r>
      <w:r>
        <w:t xml:space="preserve"> and 202</w:t>
      </w:r>
      <w:r w:rsidR="006B4773">
        <w:t>7</w:t>
      </w:r>
      <w:r>
        <w:t>.  The board has directed that the allocations to the states be adjusted annually based on the collections in the prior year.  This is a formulaic adjustment and thus the allocations to the state for 202</w:t>
      </w:r>
      <w:r w:rsidR="006B4773">
        <w:t>7</w:t>
      </w:r>
      <w:r>
        <w:t xml:space="preserve"> will not be known until 202</w:t>
      </w:r>
      <w:r w:rsidR="006B4773">
        <w:t>6</w:t>
      </w:r>
      <w:r>
        <w:t>, however, the allocation for 202</w:t>
      </w:r>
      <w:r w:rsidR="006B4773">
        <w:t>6</w:t>
      </w:r>
      <w:r>
        <w:t xml:space="preserve"> is based on the Board’s formula.   </w:t>
      </w:r>
    </w:p>
    <w:p w14:paraId="18186CCB" w14:textId="77777777" w:rsidR="00CD0DC7" w:rsidRDefault="00CD0DC7" w:rsidP="000C5287"/>
    <w:p w14:paraId="67C0E5B0" w14:textId="77777777" w:rsidR="00CD0DC7" w:rsidRDefault="00CD0DC7" w:rsidP="000C5287"/>
    <w:p w14:paraId="06EC1461" w14:textId="77777777" w:rsidR="00CD0DC7" w:rsidRDefault="00CD0DC7" w:rsidP="000C5287"/>
    <w:p w14:paraId="274824CE" w14:textId="77777777" w:rsidR="00CD0DC7" w:rsidRDefault="00CD0DC7" w:rsidP="000C5287"/>
    <w:p w14:paraId="6D2F1EEA" w14:textId="77777777" w:rsidR="00CD0DC7" w:rsidRDefault="00CD0DC7" w:rsidP="000C5287"/>
    <w:p w14:paraId="0124BC2A" w14:textId="77777777" w:rsidR="00CD0DC7" w:rsidRDefault="00CD0DC7" w:rsidP="000C5287"/>
    <w:p w14:paraId="0B08043E" w14:textId="77777777" w:rsidR="00CD0DC7" w:rsidRDefault="00CD0DC7" w:rsidP="000C5287"/>
    <w:p w14:paraId="450BC689" w14:textId="77777777" w:rsidR="00CD0DC7" w:rsidRDefault="00CD0DC7" w:rsidP="000C5287"/>
    <w:p w14:paraId="0C282492" w14:textId="77777777" w:rsidR="00CD0DC7" w:rsidRDefault="00CD0DC7" w:rsidP="000C5287"/>
    <w:p w14:paraId="24BA8ADE" w14:textId="77777777" w:rsidR="00CD0DC7" w:rsidRDefault="00CD0DC7" w:rsidP="000C5287"/>
    <w:p w14:paraId="526B899B" w14:textId="77777777" w:rsidR="00CD0DC7" w:rsidRDefault="00CD0DC7" w:rsidP="000C5287"/>
    <w:p w14:paraId="253A8726" w14:textId="77777777" w:rsidR="00CD0DC7" w:rsidRDefault="00CD0DC7" w:rsidP="000C5287"/>
    <w:p w14:paraId="58CD3B84" w14:textId="77777777" w:rsidR="00CD0DC7" w:rsidRDefault="00CD0DC7" w:rsidP="000C5287"/>
    <w:p w14:paraId="112AE716" w14:textId="77777777" w:rsidR="00CD0DC7" w:rsidRDefault="00CD0DC7" w:rsidP="000C5287"/>
    <w:p w14:paraId="4E6D8180" w14:textId="77777777" w:rsidR="00CD0DC7" w:rsidRDefault="00CD0DC7" w:rsidP="000C5287"/>
    <w:p w14:paraId="62EA635A" w14:textId="77777777" w:rsidR="00CD0DC7" w:rsidRDefault="00CD0DC7" w:rsidP="000C5287"/>
    <w:p w14:paraId="71E54C4A" w14:textId="77777777" w:rsidR="00CD0DC7" w:rsidRDefault="00CD0DC7" w:rsidP="000C5287"/>
    <w:p w14:paraId="6C573317" w14:textId="77777777" w:rsidR="00CD0DC7" w:rsidRDefault="00CD0DC7" w:rsidP="000C5287"/>
    <w:p w14:paraId="5C937263" w14:textId="77777777" w:rsidR="00CD0DC7" w:rsidRDefault="00CD0DC7" w:rsidP="000C5287"/>
    <w:p w14:paraId="28DAE8BE" w14:textId="77777777" w:rsidR="00CD0DC7" w:rsidRDefault="00CD0DC7" w:rsidP="000C5287"/>
    <w:p w14:paraId="62A4D78D" w14:textId="77777777" w:rsidR="00CD0DC7" w:rsidRDefault="00CD0DC7" w:rsidP="000C5287"/>
    <w:p w14:paraId="162977EE" w14:textId="77777777" w:rsidR="00CD0DC7" w:rsidRDefault="00CD0DC7" w:rsidP="000C5287"/>
    <w:p w14:paraId="75254A6D" w14:textId="77777777" w:rsidR="00CD0DC7" w:rsidRDefault="00CD0DC7" w:rsidP="000C5287"/>
    <w:p w14:paraId="06FE895D" w14:textId="77777777" w:rsidR="00CD0DC7" w:rsidRDefault="00CD0DC7" w:rsidP="000C5287"/>
    <w:p w14:paraId="05B2DE03" w14:textId="77777777" w:rsidR="00CD0DC7" w:rsidRDefault="00CD0DC7" w:rsidP="000C5287"/>
    <w:p w14:paraId="097C8407" w14:textId="77777777" w:rsidR="00CD0DC7" w:rsidRDefault="00CD0DC7" w:rsidP="000C5287"/>
    <w:p w14:paraId="55A1770A" w14:textId="77777777" w:rsidR="00CD0DC7" w:rsidRDefault="00CD0DC7" w:rsidP="000C5287"/>
    <w:p w14:paraId="4BC4E544" w14:textId="77777777" w:rsidR="00CD0DC7" w:rsidRDefault="00CD0DC7" w:rsidP="000C5287"/>
    <w:p w14:paraId="121E26C2" w14:textId="77777777" w:rsidR="00CD0DC7" w:rsidRDefault="00CD0DC7" w:rsidP="000C5287"/>
    <w:p w14:paraId="05C561BE" w14:textId="77777777" w:rsidR="00CD0DC7" w:rsidRDefault="00CD0DC7" w:rsidP="000C5287"/>
    <w:p w14:paraId="35DF9D6A" w14:textId="77777777" w:rsidR="00CD0DC7" w:rsidRDefault="00CD0DC7" w:rsidP="000C5287"/>
    <w:p w14:paraId="3C4D25A7" w14:textId="77777777" w:rsidR="00CD0DC7" w:rsidRDefault="00CD0DC7" w:rsidP="000C5287"/>
    <w:p w14:paraId="7F05B9E5" w14:textId="77777777" w:rsidR="00CD0DC7" w:rsidRDefault="00CD0DC7" w:rsidP="000C5287"/>
    <w:p w14:paraId="7D5A22F4" w14:textId="77777777" w:rsidR="00CD0DC7" w:rsidRDefault="00CD0DC7" w:rsidP="000C5287"/>
    <w:p w14:paraId="2A1FECCE" w14:textId="30FA6FBA" w:rsidR="00CD0DC7" w:rsidRDefault="00CD0DC7" w:rsidP="000C5287"/>
    <w:p w14:paraId="129D104F" w14:textId="2E876318" w:rsidR="00996C45" w:rsidRDefault="00996C45" w:rsidP="000C5287"/>
    <w:p w14:paraId="1AF152A2" w14:textId="36FBCC32" w:rsidR="00996C45" w:rsidRDefault="00996C45" w:rsidP="000C5287"/>
    <w:p w14:paraId="74D56E9B" w14:textId="77777777" w:rsidR="00996C45" w:rsidRDefault="00996C45" w:rsidP="000C5287"/>
    <w:p w14:paraId="2C0A2C09" w14:textId="77777777" w:rsidR="00CD0DC7" w:rsidRDefault="00CD0DC7" w:rsidP="000C5287"/>
    <w:p w14:paraId="1086C623" w14:textId="195A2A67" w:rsidR="00B87A07" w:rsidRDefault="001E5152" w:rsidP="000C5287">
      <w:r>
        <w:rPr>
          <w:noProof/>
        </w:rPr>
        <w:object w:dxaOrig="10003" w:dyaOrig="9408" w14:anchorId="33198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0.25pt;height:470.25pt;mso-width-percent:0;mso-height-percent:0;mso-width-percent:0;mso-height-percent:0" o:ole="">
            <v:imagedata r:id="rId6" o:title=""/>
          </v:shape>
          <o:OLEObject Type="Embed" ProgID="Excel.Sheet.12" ShapeID="_x0000_i1025" DrawAspect="Content" ObjectID="_1836560846" r:id="rId7"/>
        </w:object>
      </w:r>
    </w:p>
    <w:p w14:paraId="62FC2651" w14:textId="77777777" w:rsidR="00731ED5" w:rsidRDefault="00731ED5" w:rsidP="000C5287"/>
    <w:p w14:paraId="65CBBE53" w14:textId="77777777" w:rsidR="00731ED5" w:rsidRDefault="00731ED5" w:rsidP="000C5287"/>
    <w:p w14:paraId="53841ABF" w14:textId="77777777" w:rsidR="00731ED5" w:rsidRDefault="00731ED5" w:rsidP="000C5287"/>
    <w:p w14:paraId="24C136CF" w14:textId="77777777" w:rsidR="00731ED5" w:rsidRDefault="00731ED5" w:rsidP="000C5287"/>
    <w:p w14:paraId="43C7270D" w14:textId="77777777" w:rsidR="00731ED5" w:rsidRDefault="00731ED5" w:rsidP="000C5287"/>
    <w:p w14:paraId="7AD916A3" w14:textId="77777777" w:rsidR="00731ED5" w:rsidRDefault="00731ED5" w:rsidP="000C5287"/>
    <w:p w14:paraId="2618A1B6" w14:textId="77777777" w:rsidR="00731ED5" w:rsidRDefault="00731ED5" w:rsidP="000C5287"/>
    <w:p w14:paraId="218A1799" w14:textId="77777777" w:rsidR="00731ED5" w:rsidRDefault="00731ED5" w:rsidP="000C5287"/>
    <w:p w14:paraId="32421DA4" w14:textId="77777777" w:rsidR="00731ED5" w:rsidRDefault="00731ED5" w:rsidP="000C5287"/>
    <w:p w14:paraId="6ADC9F14" w14:textId="77777777" w:rsidR="00731ED5" w:rsidRDefault="00731ED5" w:rsidP="000C5287"/>
    <w:p w14:paraId="39644757" w14:textId="77777777" w:rsidR="00731ED5" w:rsidRDefault="00731ED5" w:rsidP="000C5287"/>
    <w:p w14:paraId="5D5831D5" w14:textId="77777777" w:rsidR="00731ED5" w:rsidRDefault="00731ED5" w:rsidP="000C5287"/>
    <w:p w14:paraId="18B3F578" w14:textId="77777777" w:rsidR="00731ED5" w:rsidRDefault="00731ED5" w:rsidP="000C5287"/>
    <w:p w14:paraId="1312E968" w14:textId="77777777" w:rsidR="00731ED5" w:rsidRDefault="00731ED5" w:rsidP="000C5287"/>
    <w:p w14:paraId="708C6F11" w14:textId="1A019A78" w:rsidR="00731ED5" w:rsidRDefault="001E5152" w:rsidP="000C5287">
      <w:r>
        <w:rPr>
          <w:noProof/>
        </w:rPr>
        <w:object w:dxaOrig="10003" w:dyaOrig="9204" w14:anchorId="4A8F9A53">
          <v:shape id="_x0000_i1026" type="#_x0000_t75" alt="" style="width:500.25pt;height:460.5pt;mso-width-percent:0;mso-height-percent:0;mso-width-percent:0;mso-height-percent:0" o:ole="">
            <v:imagedata r:id="rId8" o:title=""/>
          </v:shape>
          <o:OLEObject Type="Embed" ProgID="Excel.Sheet.12" ShapeID="_x0000_i1026" DrawAspect="Content" ObjectID="_1836560847" r:id="rId9"/>
        </w:object>
      </w:r>
    </w:p>
    <w:p w14:paraId="176CAFDA" w14:textId="77777777" w:rsidR="00731ED5" w:rsidRDefault="00731ED5" w:rsidP="000C5287"/>
    <w:p w14:paraId="6D319635" w14:textId="77777777" w:rsidR="00731ED5" w:rsidRDefault="00731ED5" w:rsidP="000C5287"/>
    <w:p w14:paraId="4F240D90" w14:textId="77777777" w:rsidR="00731ED5" w:rsidRDefault="00731ED5" w:rsidP="000C5287"/>
    <w:p w14:paraId="0898E048" w14:textId="77777777" w:rsidR="00731ED5" w:rsidRDefault="00731ED5" w:rsidP="000C5287"/>
    <w:p w14:paraId="2C1C479A" w14:textId="77777777" w:rsidR="00731ED5" w:rsidRDefault="00731ED5" w:rsidP="000C5287"/>
    <w:p w14:paraId="483E461B" w14:textId="77777777" w:rsidR="00731ED5" w:rsidRDefault="00731ED5" w:rsidP="000C5287"/>
    <w:p w14:paraId="5DEE2394" w14:textId="77777777" w:rsidR="00731ED5" w:rsidRDefault="00731ED5" w:rsidP="000C5287"/>
    <w:p w14:paraId="5B4CDD37" w14:textId="77777777" w:rsidR="00731ED5" w:rsidRDefault="00731ED5" w:rsidP="000C5287"/>
    <w:p w14:paraId="65ADDF5B" w14:textId="77777777" w:rsidR="00731ED5" w:rsidRDefault="00731ED5" w:rsidP="000C5287"/>
    <w:p w14:paraId="7765E053" w14:textId="77777777" w:rsidR="00731ED5" w:rsidRDefault="00731ED5" w:rsidP="000C5287"/>
    <w:p w14:paraId="4FF03DD2" w14:textId="77777777" w:rsidR="00731ED5" w:rsidRDefault="00731ED5" w:rsidP="000C5287"/>
    <w:p w14:paraId="5B444DCF" w14:textId="49AD2B17" w:rsidR="00731ED5" w:rsidRDefault="00731ED5" w:rsidP="00450825">
      <w:pPr>
        <w:rPr>
          <w:rFonts w:asciiTheme="minorHAnsi" w:hAnsiTheme="minorHAnsi" w:cstheme="minorHAnsi"/>
          <w:sz w:val="36"/>
          <w:szCs w:val="36"/>
        </w:rPr>
      </w:pPr>
      <w:r>
        <w:rPr>
          <w:rFonts w:asciiTheme="minorHAnsi" w:hAnsiTheme="minorHAnsi" w:cstheme="minorHAnsi"/>
          <w:sz w:val="36"/>
          <w:szCs w:val="36"/>
        </w:rPr>
        <w:lastRenderedPageBreak/>
        <w:t>State Allocations</w:t>
      </w:r>
    </w:p>
    <w:tbl>
      <w:tblPr>
        <w:tblW w:w="31680" w:type="dxa"/>
        <w:tblLook w:val="04A0" w:firstRow="1" w:lastRow="0" w:firstColumn="1" w:lastColumn="0" w:noHBand="0" w:noVBand="1"/>
      </w:tblPr>
      <w:tblGrid>
        <w:gridCol w:w="9159"/>
        <w:gridCol w:w="22521"/>
      </w:tblGrid>
      <w:tr w:rsidR="00731ED5" w:rsidRPr="00257990" w14:paraId="34704739" w14:textId="77777777" w:rsidTr="00F6579E">
        <w:trPr>
          <w:trHeight w:val="300"/>
        </w:trPr>
        <w:tc>
          <w:tcPr>
            <w:tcW w:w="31680" w:type="dxa"/>
            <w:gridSpan w:val="2"/>
            <w:tcBorders>
              <w:top w:val="nil"/>
              <w:left w:val="nil"/>
              <w:bottom w:val="nil"/>
              <w:right w:val="nil"/>
            </w:tcBorders>
            <w:noWrap/>
            <w:vAlign w:val="bottom"/>
            <w:hideMark/>
          </w:tcPr>
          <w:p w14:paraId="334D3829" w14:textId="77777777" w:rsidR="00731ED5" w:rsidRPr="00257990" w:rsidRDefault="00731ED5" w:rsidP="00F6579E">
            <w:pPr>
              <w:rPr>
                <w:rFonts w:asciiTheme="minorHAnsi" w:hAnsiTheme="minorHAnsi" w:cstheme="minorHAnsi"/>
                <w:color w:val="000000"/>
                <w:sz w:val="36"/>
                <w:szCs w:val="36"/>
              </w:rPr>
            </w:pPr>
            <w:r>
              <w:rPr>
                <w:rFonts w:asciiTheme="minorHAnsi" w:hAnsiTheme="minorHAnsi" w:cstheme="minorHAnsi"/>
                <w:color w:val="000000"/>
                <w:sz w:val="36"/>
                <w:szCs w:val="36"/>
              </w:rPr>
              <w:t xml:space="preserve">                                                     </w:t>
            </w:r>
            <w:r w:rsidRPr="00257990">
              <w:rPr>
                <w:rFonts w:asciiTheme="minorHAnsi" w:hAnsiTheme="minorHAnsi" w:cstheme="minorHAnsi"/>
                <w:color w:val="000000"/>
                <w:sz w:val="36"/>
                <w:szCs w:val="36"/>
              </w:rPr>
              <w:t>202</w:t>
            </w:r>
            <w:r>
              <w:rPr>
                <w:rFonts w:asciiTheme="minorHAnsi" w:hAnsiTheme="minorHAnsi" w:cstheme="minorHAnsi"/>
                <w:color w:val="000000"/>
                <w:sz w:val="36"/>
                <w:szCs w:val="36"/>
              </w:rPr>
              <w:t>6</w:t>
            </w:r>
          </w:p>
        </w:tc>
      </w:tr>
      <w:tr w:rsidR="00731ED5" w:rsidRPr="00257990" w14:paraId="2965D31E" w14:textId="77777777" w:rsidTr="00F6579E">
        <w:trPr>
          <w:gridAfter w:val="1"/>
          <w:wAfter w:w="22840" w:type="dxa"/>
          <w:trHeight w:val="300"/>
        </w:trPr>
        <w:tc>
          <w:tcPr>
            <w:tcW w:w="9159" w:type="dxa"/>
            <w:tcBorders>
              <w:top w:val="nil"/>
              <w:left w:val="nil"/>
              <w:bottom w:val="nil"/>
              <w:right w:val="nil"/>
            </w:tcBorders>
            <w:noWrap/>
            <w:vAlign w:val="bottom"/>
            <w:hideMark/>
          </w:tcPr>
          <w:p w14:paraId="526936BD" w14:textId="77777777" w:rsidR="00731ED5" w:rsidRPr="00257990" w:rsidRDefault="00731ED5" w:rsidP="00F6579E">
            <w:pPr>
              <w:jc w:val="center"/>
              <w:rPr>
                <w:rFonts w:asciiTheme="minorHAnsi" w:hAnsiTheme="minorHAnsi" w:cstheme="minorHAnsi"/>
                <w:color w:val="000000"/>
                <w:sz w:val="36"/>
                <w:szCs w:val="36"/>
              </w:rPr>
            </w:pPr>
          </w:p>
        </w:tc>
      </w:tr>
      <w:tr w:rsidR="00731ED5" w:rsidRPr="00257990" w14:paraId="1C629CCD" w14:textId="77777777" w:rsidTr="00F6579E">
        <w:trPr>
          <w:gridAfter w:val="1"/>
          <w:wAfter w:w="22840" w:type="dxa"/>
          <w:trHeight w:val="640"/>
        </w:trPr>
        <w:tc>
          <w:tcPr>
            <w:tcW w:w="9159" w:type="dxa"/>
            <w:tcBorders>
              <w:top w:val="nil"/>
              <w:left w:val="nil"/>
              <w:bottom w:val="nil"/>
              <w:right w:val="nil"/>
            </w:tcBorders>
            <w:noWrap/>
            <w:vAlign w:val="bottom"/>
          </w:tcPr>
          <w:p w14:paraId="4260F34D" w14:textId="4F05B2A9" w:rsidR="00731ED5" w:rsidRPr="00257990" w:rsidRDefault="001E5152" w:rsidP="00F6579E">
            <w:pPr>
              <w:rPr>
                <w:rFonts w:ascii="Arial" w:hAnsi="Arial" w:cs="Arial"/>
                <w:color w:val="000000"/>
                <w:sz w:val="22"/>
                <w:szCs w:val="22"/>
              </w:rPr>
            </w:pPr>
            <w:r>
              <w:rPr>
                <w:rFonts w:ascii="Arial" w:hAnsi="Arial" w:cs="Arial"/>
                <w:noProof/>
                <w:color w:val="000000"/>
                <w:sz w:val="22"/>
                <w:szCs w:val="22"/>
              </w:rPr>
              <w:object w:dxaOrig="8838" w:dyaOrig="8325" w14:anchorId="28A3EE50">
                <v:shape id="_x0000_i1027" type="#_x0000_t75" alt="" style="width:441.75pt;height:417pt;mso-width-percent:0;mso-height-percent:0;mso-width-percent:0;mso-height-percent:0" o:ole="">
                  <v:imagedata r:id="rId10" o:title=""/>
                </v:shape>
                <o:OLEObject Type="Embed" ProgID="Excel.Sheet.12" ShapeID="_x0000_i1027" DrawAspect="Content" ObjectID="_1836560848" r:id="rId11"/>
              </w:object>
            </w:r>
          </w:p>
        </w:tc>
      </w:tr>
    </w:tbl>
    <w:p w14:paraId="05FF0465" w14:textId="77777777" w:rsidR="00731ED5" w:rsidRDefault="00731ED5" w:rsidP="00450825">
      <w:pPr>
        <w:rPr>
          <w:rFonts w:asciiTheme="minorHAnsi" w:hAnsiTheme="minorHAnsi" w:cstheme="minorHAnsi"/>
          <w:sz w:val="36"/>
          <w:szCs w:val="36"/>
        </w:rPr>
      </w:pPr>
    </w:p>
    <w:p w14:paraId="0C982B81" w14:textId="77777777" w:rsidR="00731ED5" w:rsidRDefault="00731ED5" w:rsidP="00450825">
      <w:pPr>
        <w:rPr>
          <w:rFonts w:asciiTheme="minorHAnsi" w:hAnsiTheme="minorHAnsi" w:cstheme="minorHAnsi"/>
          <w:sz w:val="36"/>
          <w:szCs w:val="36"/>
        </w:rPr>
      </w:pPr>
    </w:p>
    <w:p w14:paraId="07FA3CB6" w14:textId="77777777" w:rsidR="00731ED5" w:rsidRDefault="00731ED5" w:rsidP="00450825">
      <w:pPr>
        <w:rPr>
          <w:rFonts w:asciiTheme="minorHAnsi" w:hAnsiTheme="minorHAnsi" w:cstheme="minorHAnsi"/>
          <w:sz w:val="36"/>
          <w:szCs w:val="36"/>
        </w:rPr>
      </w:pPr>
    </w:p>
    <w:p w14:paraId="2D9DA74E" w14:textId="77777777" w:rsidR="00731ED5" w:rsidRDefault="00731ED5" w:rsidP="00450825">
      <w:pPr>
        <w:rPr>
          <w:rFonts w:asciiTheme="minorHAnsi" w:hAnsiTheme="minorHAnsi" w:cstheme="minorHAnsi"/>
          <w:sz w:val="36"/>
          <w:szCs w:val="36"/>
        </w:rPr>
      </w:pPr>
    </w:p>
    <w:p w14:paraId="64A11B9F" w14:textId="77777777" w:rsidR="00731ED5" w:rsidRDefault="00731ED5" w:rsidP="00450825">
      <w:pPr>
        <w:rPr>
          <w:rFonts w:asciiTheme="minorHAnsi" w:hAnsiTheme="minorHAnsi" w:cstheme="minorHAnsi"/>
          <w:sz w:val="36"/>
          <w:szCs w:val="36"/>
        </w:rPr>
      </w:pPr>
    </w:p>
    <w:p w14:paraId="0626BCDB" w14:textId="77777777" w:rsidR="00731ED5" w:rsidRDefault="00731ED5" w:rsidP="00450825">
      <w:pPr>
        <w:rPr>
          <w:rFonts w:asciiTheme="minorHAnsi" w:hAnsiTheme="minorHAnsi" w:cstheme="minorHAnsi"/>
          <w:sz w:val="36"/>
          <w:szCs w:val="36"/>
        </w:rPr>
      </w:pPr>
    </w:p>
    <w:p w14:paraId="6E76CD56" w14:textId="77777777" w:rsidR="00731ED5" w:rsidRDefault="00731ED5" w:rsidP="00450825">
      <w:pPr>
        <w:rPr>
          <w:rFonts w:asciiTheme="minorHAnsi" w:hAnsiTheme="minorHAnsi" w:cstheme="minorHAnsi"/>
          <w:sz w:val="36"/>
          <w:szCs w:val="36"/>
        </w:rPr>
      </w:pPr>
    </w:p>
    <w:p w14:paraId="2A20097B" w14:textId="77777777" w:rsidR="00731ED5" w:rsidRDefault="00731ED5" w:rsidP="00450825">
      <w:pPr>
        <w:rPr>
          <w:rFonts w:asciiTheme="minorHAnsi" w:hAnsiTheme="minorHAnsi" w:cstheme="minorHAnsi"/>
          <w:sz w:val="36"/>
          <w:szCs w:val="36"/>
        </w:rPr>
      </w:pPr>
    </w:p>
    <w:p w14:paraId="0A0AF563" w14:textId="77777777" w:rsidR="00731ED5" w:rsidRDefault="00731ED5" w:rsidP="00731ED5">
      <w:pPr>
        <w:rPr>
          <w:rFonts w:asciiTheme="minorHAnsi" w:hAnsiTheme="minorHAnsi" w:cstheme="minorHAnsi"/>
          <w:sz w:val="36"/>
          <w:szCs w:val="36"/>
        </w:rPr>
      </w:pPr>
      <w:r>
        <w:rPr>
          <w:rFonts w:asciiTheme="minorHAnsi" w:hAnsiTheme="minorHAnsi" w:cstheme="minorHAnsi"/>
          <w:sz w:val="36"/>
          <w:szCs w:val="36"/>
        </w:rPr>
        <w:t>State Allocations</w:t>
      </w:r>
    </w:p>
    <w:tbl>
      <w:tblPr>
        <w:tblW w:w="31680" w:type="dxa"/>
        <w:tblLook w:val="04A0" w:firstRow="1" w:lastRow="0" w:firstColumn="1" w:lastColumn="0" w:noHBand="0" w:noVBand="1"/>
      </w:tblPr>
      <w:tblGrid>
        <w:gridCol w:w="31680"/>
      </w:tblGrid>
      <w:tr w:rsidR="00731ED5" w:rsidRPr="00257990" w14:paraId="4F4BDE95" w14:textId="77777777" w:rsidTr="00F6579E">
        <w:trPr>
          <w:trHeight w:val="300"/>
        </w:trPr>
        <w:tc>
          <w:tcPr>
            <w:tcW w:w="31680" w:type="dxa"/>
            <w:tcBorders>
              <w:top w:val="nil"/>
              <w:left w:val="nil"/>
              <w:bottom w:val="nil"/>
              <w:right w:val="nil"/>
            </w:tcBorders>
            <w:noWrap/>
            <w:vAlign w:val="bottom"/>
            <w:hideMark/>
          </w:tcPr>
          <w:p w14:paraId="729A79E4" w14:textId="77777777" w:rsidR="00731ED5" w:rsidRDefault="00731ED5" w:rsidP="00F6579E">
            <w:pPr>
              <w:rPr>
                <w:rFonts w:asciiTheme="minorHAnsi" w:hAnsiTheme="minorHAnsi" w:cstheme="minorHAnsi"/>
                <w:color w:val="000000"/>
                <w:sz w:val="36"/>
                <w:szCs w:val="36"/>
              </w:rPr>
            </w:pPr>
            <w:r>
              <w:rPr>
                <w:rFonts w:asciiTheme="minorHAnsi" w:hAnsiTheme="minorHAnsi" w:cstheme="minorHAnsi"/>
                <w:color w:val="000000"/>
                <w:sz w:val="36"/>
                <w:szCs w:val="36"/>
              </w:rPr>
              <w:t xml:space="preserve">                                                     </w:t>
            </w:r>
            <w:r w:rsidRPr="00257990">
              <w:rPr>
                <w:rFonts w:asciiTheme="minorHAnsi" w:hAnsiTheme="minorHAnsi" w:cstheme="minorHAnsi"/>
                <w:color w:val="000000"/>
                <w:sz w:val="36"/>
                <w:szCs w:val="36"/>
              </w:rPr>
              <w:t>202</w:t>
            </w:r>
            <w:r>
              <w:rPr>
                <w:rFonts w:asciiTheme="minorHAnsi" w:hAnsiTheme="minorHAnsi" w:cstheme="minorHAnsi"/>
                <w:color w:val="000000"/>
                <w:sz w:val="36"/>
                <w:szCs w:val="36"/>
              </w:rPr>
              <w:t>7</w:t>
            </w:r>
          </w:p>
          <w:p w14:paraId="478457FF" w14:textId="77777777" w:rsidR="00731ED5" w:rsidRDefault="00731ED5" w:rsidP="00F6579E">
            <w:pPr>
              <w:rPr>
                <w:rFonts w:asciiTheme="minorHAnsi" w:hAnsiTheme="minorHAnsi" w:cstheme="minorHAnsi"/>
                <w:color w:val="000000"/>
                <w:sz w:val="36"/>
                <w:szCs w:val="36"/>
              </w:rPr>
            </w:pPr>
          </w:p>
          <w:p w14:paraId="61748CD6" w14:textId="69395929" w:rsidR="00731ED5" w:rsidRPr="00257990" w:rsidRDefault="001E5152" w:rsidP="00F6579E">
            <w:pPr>
              <w:rPr>
                <w:rFonts w:asciiTheme="minorHAnsi" w:hAnsiTheme="minorHAnsi" w:cstheme="minorHAnsi"/>
                <w:color w:val="000000"/>
                <w:sz w:val="36"/>
                <w:szCs w:val="36"/>
              </w:rPr>
            </w:pPr>
            <w:r w:rsidRPr="001E5152">
              <w:rPr>
                <w:rFonts w:asciiTheme="minorHAnsi" w:hAnsiTheme="minorHAnsi" w:cstheme="minorHAnsi"/>
                <w:noProof/>
                <w:color w:val="000000"/>
                <w:sz w:val="36"/>
                <w:szCs w:val="36"/>
              </w:rPr>
              <w:object w:dxaOrig="8838" w:dyaOrig="8325" w14:anchorId="581E566E">
                <v:shape id="_x0000_i1028" type="#_x0000_t75" alt="" style="width:441.75pt;height:417pt;mso-width-percent:0;mso-height-percent:0;mso-width-percent:0;mso-height-percent:0" o:ole="">
                  <v:imagedata r:id="rId12" o:title=""/>
                </v:shape>
                <o:OLEObject Type="Embed" ProgID="Excel.Sheet.12" ShapeID="_x0000_i1028" DrawAspect="Content" ObjectID="_1836560849" r:id="rId13"/>
              </w:object>
            </w:r>
          </w:p>
        </w:tc>
      </w:tr>
    </w:tbl>
    <w:p w14:paraId="10DC5536" w14:textId="77777777" w:rsidR="00731ED5" w:rsidRDefault="00731ED5" w:rsidP="00450825">
      <w:pPr>
        <w:rPr>
          <w:rFonts w:asciiTheme="minorHAnsi" w:hAnsiTheme="minorHAnsi" w:cstheme="minorHAnsi"/>
          <w:sz w:val="36"/>
          <w:szCs w:val="36"/>
        </w:rPr>
      </w:pPr>
    </w:p>
    <w:p w14:paraId="5B4EDD14" w14:textId="77777777" w:rsidR="00731ED5" w:rsidRDefault="00731ED5" w:rsidP="00450825">
      <w:pPr>
        <w:rPr>
          <w:rFonts w:asciiTheme="minorHAnsi" w:hAnsiTheme="minorHAnsi" w:cstheme="minorHAnsi"/>
          <w:sz w:val="36"/>
          <w:szCs w:val="36"/>
        </w:rPr>
      </w:pPr>
    </w:p>
    <w:p w14:paraId="1898A66A" w14:textId="77777777" w:rsidR="00731ED5" w:rsidRDefault="00731ED5" w:rsidP="00450825">
      <w:pPr>
        <w:rPr>
          <w:rFonts w:asciiTheme="minorHAnsi" w:hAnsiTheme="minorHAnsi" w:cstheme="minorHAnsi"/>
          <w:sz w:val="36"/>
          <w:szCs w:val="36"/>
        </w:rPr>
      </w:pPr>
    </w:p>
    <w:p w14:paraId="0E0718A3" w14:textId="77777777" w:rsidR="00731ED5" w:rsidRDefault="00731ED5" w:rsidP="00450825">
      <w:pPr>
        <w:rPr>
          <w:rFonts w:asciiTheme="minorHAnsi" w:hAnsiTheme="minorHAnsi" w:cstheme="minorHAnsi"/>
          <w:sz w:val="36"/>
          <w:szCs w:val="36"/>
        </w:rPr>
      </w:pPr>
    </w:p>
    <w:p w14:paraId="24687C0F" w14:textId="77777777" w:rsidR="00731ED5" w:rsidRDefault="00731ED5" w:rsidP="00450825">
      <w:pPr>
        <w:rPr>
          <w:rFonts w:asciiTheme="minorHAnsi" w:hAnsiTheme="minorHAnsi" w:cstheme="minorHAnsi"/>
          <w:sz w:val="36"/>
          <w:szCs w:val="36"/>
        </w:rPr>
      </w:pPr>
    </w:p>
    <w:p w14:paraId="67AEFE48" w14:textId="77777777" w:rsidR="00731ED5" w:rsidRDefault="00731ED5" w:rsidP="00450825">
      <w:pPr>
        <w:rPr>
          <w:rFonts w:asciiTheme="minorHAnsi" w:hAnsiTheme="minorHAnsi" w:cstheme="minorHAnsi"/>
          <w:sz w:val="36"/>
          <w:szCs w:val="36"/>
        </w:rPr>
      </w:pPr>
    </w:p>
    <w:p w14:paraId="13C0CC76" w14:textId="77777777" w:rsidR="00731ED5" w:rsidRDefault="00731ED5" w:rsidP="00450825">
      <w:pPr>
        <w:rPr>
          <w:rFonts w:asciiTheme="minorHAnsi" w:hAnsiTheme="minorHAnsi" w:cstheme="minorHAnsi"/>
          <w:sz w:val="36"/>
          <w:szCs w:val="36"/>
        </w:rPr>
      </w:pPr>
    </w:p>
    <w:p w14:paraId="08B69916" w14:textId="77777777" w:rsidR="00731ED5" w:rsidRDefault="00731ED5" w:rsidP="00450825">
      <w:pPr>
        <w:rPr>
          <w:rFonts w:asciiTheme="minorHAnsi" w:hAnsiTheme="minorHAnsi" w:cstheme="minorHAnsi"/>
          <w:sz w:val="36"/>
          <w:szCs w:val="36"/>
        </w:rPr>
      </w:pPr>
    </w:p>
    <w:sectPr w:rsidR="00731ED5" w:rsidSect="00916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E1D23"/>
    <w:multiLevelType w:val="hybridMultilevel"/>
    <w:tmpl w:val="05E80E04"/>
    <w:lvl w:ilvl="0" w:tplc="235CFAB8">
      <w:start w:val="9"/>
      <w:numFmt w:val="bullet"/>
      <w:lvlText w:val="-"/>
      <w:lvlJc w:val="left"/>
      <w:pPr>
        <w:ind w:left="1160" w:hanging="360"/>
      </w:pPr>
      <w:rPr>
        <w:rFonts w:ascii="Times New Roman" w:eastAsia="Times New Roman" w:hAnsi="Times New Roman" w:cs="Times New Roman"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 w15:restartNumberingAfterBreak="0">
    <w:nsid w:val="6B0C6EDF"/>
    <w:multiLevelType w:val="hybridMultilevel"/>
    <w:tmpl w:val="70387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136013">
    <w:abstractNumId w:val="1"/>
  </w:num>
  <w:num w:numId="2" w16cid:durableId="72694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87"/>
    <w:rsid w:val="00010AB4"/>
    <w:rsid w:val="00033EDD"/>
    <w:rsid w:val="00050DFA"/>
    <w:rsid w:val="00096109"/>
    <w:rsid w:val="000C5287"/>
    <w:rsid w:val="000F4427"/>
    <w:rsid w:val="0011120C"/>
    <w:rsid w:val="001206A4"/>
    <w:rsid w:val="00162059"/>
    <w:rsid w:val="001E5152"/>
    <w:rsid w:val="002047E4"/>
    <w:rsid w:val="00257990"/>
    <w:rsid w:val="00350C03"/>
    <w:rsid w:val="00352D93"/>
    <w:rsid w:val="00383EE4"/>
    <w:rsid w:val="00450825"/>
    <w:rsid w:val="004E4C12"/>
    <w:rsid w:val="005171BA"/>
    <w:rsid w:val="00541D28"/>
    <w:rsid w:val="005763D1"/>
    <w:rsid w:val="005945F2"/>
    <w:rsid w:val="00597F69"/>
    <w:rsid w:val="006B4773"/>
    <w:rsid w:val="006E2B26"/>
    <w:rsid w:val="00731ED5"/>
    <w:rsid w:val="0073410B"/>
    <w:rsid w:val="0088101A"/>
    <w:rsid w:val="00884997"/>
    <w:rsid w:val="0091658B"/>
    <w:rsid w:val="00996C45"/>
    <w:rsid w:val="00A8205B"/>
    <w:rsid w:val="00B27280"/>
    <w:rsid w:val="00B87A07"/>
    <w:rsid w:val="00BB0295"/>
    <w:rsid w:val="00C3136C"/>
    <w:rsid w:val="00C72B3C"/>
    <w:rsid w:val="00CD0DC7"/>
    <w:rsid w:val="00E12FFA"/>
    <w:rsid w:val="00E80DC0"/>
    <w:rsid w:val="00F6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8D09"/>
  <w15:chartTrackingRefBased/>
  <w15:docId w15:val="{0EFB1E36-F4B6-D84E-A833-1345C9FC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ED5"/>
    <w:rPr>
      <w:rFonts w:ascii="Times New Roman" w:eastAsia="Times New Roman" w:hAnsi="Times New Roman" w:cs="Times New Roman"/>
    </w:rPr>
  </w:style>
  <w:style w:type="paragraph" w:styleId="Heading1">
    <w:name w:val="heading 1"/>
    <w:basedOn w:val="Normal"/>
    <w:next w:val="Normal"/>
    <w:link w:val="Heading1Char"/>
    <w:qFormat/>
    <w:rsid w:val="000C5287"/>
    <w:pPr>
      <w:keepNext/>
      <w:ind w:right="720"/>
      <w:outlineLvl w:val="0"/>
    </w:pPr>
    <w:rPr>
      <w:rFonts w:ascii="Arial" w:hAnsi="Arial" w:cs="Arial"/>
      <w:b/>
      <w:bCs/>
      <w:i/>
      <w:iCs/>
    </w:rPr>
  </w:style>
  <w:style w:type="paragraph" w:styleId="Heading3">
    <w:name w:val="heading 3"/>
    <w:basedOn w:val="Normal"/>
    <w:next w:val="Normal"/>
    <w:link w:val="Heading3Char"/>
    <w:qFormat/>
    <w:rsid w:val="000C5287"/>
    <w:pPr>
      <w:keepNext/>
      <w:outlineLvl w:val="2"/>
    </w:pPr>
    <w:rPr>
      <w:b/>
      <w:bCs/>
      <w:i/>
      <w:iCs/>
      <w:u w:val="single"/>
    </w:rPr>
  </w:style>
  <w:style w:type="paragraph" w:styleId="Heading4">
    <w:name w:val="heading 4"/>
    <w:basedOn w:val="Normal"/>
    <w:next w:val="Normal"/>
    <w:link w:val="Heading4Char"/>
    <w:qFormat/>
    <w:rsid w:val="000C5287"/>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5287"/>
    <w:rPr>
      <w:rFonts w:ascii="Arial" w:eastAsia="Times New Roman" w:hAnsi="Arial" w:cs="Arial"/>
      <w:b/>
      <w:bCs/>
      <w:i/>
      <w:iCs/>
    </w:rPr>
  </w:style>
  <w:style w:type="character" w:customStyle="1" w:styleId="Heading3Char">
    <w:name w:val="Heading 3 Char"/>
    <w:basedOn w:val="DefaultParagraphFont"/>
    <w:link w:val="Heading3"/>
    <w:rsid w:val="000C5287"/>
    <w:rPr>
      <w:rFonts w:ascii="Times New Roman" w:eastAsia="Times New Roman" w:hAnsi="Times New Roman" w:cs="Times New Roman"/>
      <w:b/>
      <w:bCs/>
      <w:i/>
      <w:iCs/>
      <w:u w:val="single"/>
    </w:rPr>
  </w:style>
  <w:style w:type="character" w:customStyle="1" w:styleId="Heading4Char">
    <w:name w:val="Heading 4 Char"/>
    <w:basedOn w:val="DefaultParagraphFont"/>
    <w:link w:val="Heading4"/>
    <w:rsid w:val="000C5287"/>
    <w:rPr>
      <w:rFonts w:ascii="Arial" w:eastAsia="Times New Roman" w:hAnsi="Arial" w:cs="Arial"/>
      <w:b/>
      <w:bCs/>
    </w:rPr>
  </w:style>
  <w:style w:type="paragraph" w:styleId="BodyText">
    <w:name w:val="Body Text"/>
    <w:basedOn w:val="Normal"/>
    <w:link w:val="BodyTextChar"/>
    <w:rsid w:val="000C5287"/>
    <w:pPr>
      <w:ind w:right="720"/>
    </w:pPr>
  </w:style>
  <w:style w:type="character" w:customStyle="1" w:styleId="BodyTextChar">
    <w:name w:val="Body Text Char"/>
    <w:basedOn w:val="DefaultParagraphFont"/>
    <w:link w:val="BodyText"/>
    <w:rsid w:val="000C5287"/>
    <w:rPr>
      <w:rFonts w:ascii="Times New Roman" w:eastAsia="Times New Roman" w:hAnsi="Times New Roman" w:cs="Times New Roman"/>
    </w:rPr>
  </w:style>
  <w:style w:type="paragraph" w:styleId="ListParagraph">
    <w:name w:val="List Paragraph"/>
    <w:basedOn w:val="Normal"/>
    <w:uiPriority w:val="34"/>
    <w:qFormat/>
    <w:rsid w:val="00B27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5614">
      <w:bodyDiv w:val="1"/>
      <w:marLeft w:val="0"/>
      <w:marRight w:val="0"/>
      <w:marTop w:val="0"/>
      <w:marBottom w:val="0"/>
      <w:divBdr>
        <w:top w:val="none" w:sz="0" w:space="0" w:color="auto"/>
        <w:left w:val="none" w:sz="0" w:space="0" w:color="auto"/>
        <w:bottom w:val="none" w:sz="0" w:space="0" w:color="auto"/>
        <w:right w:val="none" w:sz="0" w:space="0" w:color="auto"/>
      </w:divBdr>
    </w:div>
    <w:div w:id="375665242">
      <w:bodyDiv w:val="1"/>
      <w:marLeft w:val="0"/>
      <w:marRight w:val="0"/>
      <w:marTop w:val="0"/>
      <w:marBottom w:val="0"/>
      <w:divBdr>
        <w:top w:val="none" w:sz="0" w:space="0" w:color="auto"/>
        <w:left w:val="none" w:sz="0" w:space="0" w:color="auto"/>
        <w:bottom w:val="none" w:sz="0" w:space="0" w:color="auto"/>
        <w:right w:val="none" w:sz="0" w:space="0" w:color="auto"/>
      </w:divBdr>
    </w:div>
    <w:div w:id="414518185">
      <w:bodyDiv w:val="1"/>
      <w:marLeft w:val="0"/>
      <w:marRight w:val="0"/>
      <w:marTop w:val="0"/>
      <w:marBottom w:val="0"/>
      <w:divBdr>
        <w:top w:val="none" w:sz="0" w:space="0" w:color="auto"/>
        <w:left w:val="none" w:sz="0" w:space="0" w:color="auto"/>
        <w:bottom w:val="none" w:sz="0" w:space="0" w:color="auto"/>
        <w:right w:val="none" w:sz="0" w:space="0" w:color="auto"/>
      </w:divBdr>
    </w:div>
    <w:div w:id="465703364">
      <w:bodyDiv w:val="1"/>
      <w:marLeft w:val="0"/>
      <w:marRight w:val="0"/>
      <w:marTop w:val="0"/>
      <w:marBottom w:val="0"/>
      <w:divBdr>
        <w:top w:val="none" w:sz="0" w:space="0" w:color="auto"/>
        <w:left w:val="none" w:sz="0" w:space="0" w:color="auto"/>
        <w:bottom w:val="none" w:sz="0" w:space="0" w:color="auto"/>
        <w:right w:val="none" w:sz="0" w:space="0" w:color="auto"/>
      </w:divBdr>
    </w:div>
    <w:div w:id="469371210">
      <w:bodyDiv w:val="1"/>
      <w:marLeft w:val="0"/>
      <w:marRight w:val="0"/>
      <w:marTop w:val="0"/>
      <w:marBottom w:val="0"/>
      <w:divBdr>
        <w:top w:val="none" w:sz="0" w:space="0" w:color="auto"/>
        <w:left w:val="none" w:sz="0" w:space="0" w:color="auto"/>
        <w:bottom w:val="none" w:sz="0" w:space="0" w:color="auto"/>
        <w:right w:val="none" w:sz="0" w:space="0" w:color="auto"/>
      </w:divBdr>
    </w:div>
    <w:div w:id="471482350">
      <w:bodyDiv w:val="1"/>
      <w:marLeft w:val="0"/>
      <w:marRight w:val="0"/>
      <w:marTop w:val="0"/>
      <w:marBottom w:val="0"/>
      <w:divBdr>
        <w:top w:val="none" w:sz="0" w:space="0" w:color="auto"/>
        <w:left w:val="none" w:sz="0" w:space="0" w:color="auto"/>
        <w:bottom w:val="none" w:sz="0" w:space="0" w:color="auto"/>
        <w:right w:val="none" w:sz="0" w:space="0" w:color="auto"/>
      </w:divBdr>
    </w:div>
    <w:div w:id="520893920">
      <w:bodyDiv w:val="1"/>
      <w:marLeft w:val="0"/>
      <w:marRight w:val="0"/>
      <w:marTop w:val="0"/>
      <w:marBottom w:val="0"/>
      <w:divBdr>
        <w:top w:val="none" w:sz="0" w:space="0" w:color="auto"/>
        <w:left w:val="none" w:sz="0" w:space="0" w:color="auto"/>
        <w:bottom w:val="none" w:sz="0" w:space="0" w:color="auto"/>
        <w:right w:val="none" w:sz="0" w:space="0" w:color="auto"/>
      </w:divBdr>
    </w:div>
    <w:div w:id="798454638">
      <w:bodyDiv w:val="1"/>
      <w:marLeft w:val="0"/>
      <w:marRight w:val="0"/>
      <w:marTop w:val="0"/>
      <w:marBottom w:val="0"/>
      <w:divBdr>
        <w:top w:val="none" w:sz="0" w:space="0" w:color="auto"/>
        <w:left w:val="none" w:sz="0" w:space="0" w:color="auto"/>
        <w:bottom w:val="none" w:sz="0" w:space="0" w:color="auto"/>
        <w:right w:val="none" w:sz="0" w:space="0" w:color="auto"/>
      </w:divBdr>
    </w:div>
    <w:div w:id="974066106">
      <w:bodyDiv w:val="1"/>
      <w:marLeft w:val="0"/>
      <w:marRight w:val="0"/>
      <w:marTop w:val="0"/>
      <w:marBottom w:val="0"/>
      <w:divBdr>
        <w:top w:val="none" w:sz="0" w:space="0" w:color="auto"/>
        <w:left w:val="none" w:sz="0" w:space="0" w:color="auto"/>
        <w:bottom w:val="none" w:sz="0" w:space="0" w:color="auto"/>
        <w:right w:val="none" w:sz="0" w:space="0" w:color="auto"/>
      </w:divBdr>
    </w:div>
    <w:div w:id="1118373111">
      <w:bodyDiv w:val="1"/>
      <w:marLeft w:val="0"/>
      <w:marRight w:val="0"/>
      <w:marTop w:val="0"/>
      <w:marBottom w:val="0"/>
      <w:divBdr>
        <w:top w:val="none" w:sz="0" w:space="0" w:color="auto"/>
        <w:left w:val="none" w:sz="0" w:space="0" w:color="auto"/>
        <w:bottom w:val="none" w:sz="0" w:space="0" w:color="auto"/>
        <w:right w:val="none" w:sz="0" w:space="0" w:color="auto"/>
      </w:divBdr>
    </w:div>
    <w:div w:id="1293361205">
      <w:bodyDiv w:val="1"/>
      <w:marLeft w:val="0"/>
      <w:marRight w:val="0"/>
      <w:marTop w:val="0"/>
      <w:marBottom w:val="0"/>
      <w:divBdr>
        <w:top w:val="none" w:sz="0" w:space="0" w:color="auto"/>
        <w:left w:val="none" w:sz="0" w:space="0" w:color="auto"/>
        <w:bottom w:val="none" w:sz="0" w:space="0" w:color="auto"/>
        <w:right w:val="none" w:sz="0" w:space="0" w:color="auto"/>
      </w:divBdr>
    </w:div>
    <w:div w:id="1400786528">
      <w:bodyDiv w:val="1"/>
      <w:marLeft w:val="0"/>
      <w:marRight w:val="0"/>
      <w:marTop w:val="0"/>
      <w:marBottom w:val="0"/>
      <w:divBdr>
        <w:top w:val="none" w:sz="0" w:space="0" w:color="auto"/>
        <w:left w:val="none" w:sz="0" w:space="0" w:color="auto"/>
        <w:bottom w:val="none" w:sz="0" w:space="0" w:color="auto"/>
        <w:right w:val="none" w:sz="0" w:space="0" w:color="auto"/>
      </w:divBdr>
    </w:div>
    <w:div w:id="1517770825">
      <w:bodyDiv w:val="1"/>
      <w:marLeft w:val="0"/>
      <w:marRight w:val="0"/>
      <w:marTop w:val="0"/>
      <w:marBottom w:val="0"/>
      <w:divBdr>
        <w:top w:val="none" w:sz="0" w:space="0" w:color="auto"/>
        <w:left w:val="none" w:sz="0" w:space="0" w:color="auto"/>
        <w:bottom w:val="none" w:sz="0" w:space="0" w:color="auto"/>
        <w:right w:val="none" w:sz="0" w:space="0" w:color="auto"/>
      </w:divBdr>
    </w:div>
    <w:div w:id="1586769128">
      <w:bodyDiv w:val="1"/>
      <w:marLeft w:val="0"/>
      <w:marRight w:val="0"/>
      <w:marTop w:val="0"/>
      <w:marBottom w:val="0"/>
      <w:divBdr>
        <w:top w:val="none" w:sz="0" w:space="0" w:color="auto"/>
        <w:left w:val="none" w:sz="0" w:space="0" w:color="auto"/>
        <w:bottom w:val="none" w:sz="0" w:space="0" w:color="auto"/>
        <w:right w:val="none" w:sz="0" w:space="0" w:color="auto"/>
      </w:divBdr>
    </w:div>
    <w:div w:id="1703437389">
      <w:bodyDiv w:val="1"/>
      <w:marLeft w:val="0"/>
      <w:marRight w:val="0"/>
      <w:marTop w:val="0"/>
      <w:marBottom w:val="0"/>
      <w:divBdr>
        <w:top w:val="none" w:sz="0" w:space="0" w:color="auto"/>
        <w:left w:val="none" w:sz="0" w:space="0" w:color="auto"/>
        <w:bottom w:val="none" w:sz="0" w:space="0" w:color="auto"/>
        <w:right w:val="none" w:sz="0" w:space="0" w:color="auto"/>
      </w:divBdr>
    </w:div>
    <w:div w:id="1720321553">
      <w:bodyDiv w:val="1"/>
      <w:marLeft w:val="0"/>
      <w:marRight w:val="0"/>
      <w:marTop w:val="0"/>
      <w:marBottom w:val="0"/>
      <w:divBdr>
        <w:top w:val="none" w:sz="0" w:space="0" w:color="auto"/>
        <w:left w:val="none" w:sz="0" w:space="0" w:color="auto"/>
        <w:bottom w:val="none" w:sz="0" w:space="0" w:color="auto"/>
        <w:right w:val="none" w:sz="0" w:space="0" w:color="auto"/>
      </w:divBdr>
    </w:div>
    <w:div w:id="1827478516">
      <w:bodyDiv w:val="1"/>
      <w:marLeft w:val="0"/>
      <w:marRight w:val="0"/>
      <w:marTop w:val="0"/>
      <w:marBottom w:val="0"/>
      <w:divBdr>
        <w:top w:val="none" w:sz="0" w:space="0" w:color="auto"/>
        <w:left w:val="none" w:sz="0" w:space="0" w:color="auto"/>
        <w:bottom w:val="none" w:sz="0" w:space="0" w:color="auto"/>
        <w:right w:val="none" w:sz="0" w:space="0" w:color="auto"/>
      </w:divBdr>
    </w:div>
    <w:div w:id="1887833700">
      <w:bodyDiv w:val="1"/>
      <w:marLeft w:val="0"/>
      <w:marRight w:val="0"/>
      <w:marTop w:val="0"/>
      <w:marBottom w:val="0"/>
      <w:divBdr>
        <w:top w:val="none" w:sz="0" w:space="0" w:color="auto"/>
        <w:left w:val="none" w:sz="0" w:space="0" w:color="auto"/>
        <w:bottom w:val="none" w:sz="0" w:space="0" w:color="auto"/>
        <w:right w:val="none" w:sz="0" w:space="0" w:color="auto"/>
      </w:divBdr>
    </w:div>
    <w:div w:id="1987707798">
      <w:bodyDiv w:val="1"/>
      <w:marLeft w:val="0"/>
      <w:marRight w:val="0"/>
      <w:marTop w:val="0"/>
      <w:marBottom w:val="0"/>
      <w:divBdr>
        <w:top w:val="none" w:sz="0" w:space="0" w:color="auto"/>
        <w:left w:val="none" w:sz="0" w:space="0" w:color="auto"/>
        <w:bottom w:val="none" w:sz="0" w:space="0" w:color="auto"/>
        <w:right w:val="none" w:sz="0" w:space="0" w:color="auto"/>
      </w:divBdr>
    </w:div>
    <w:div w:id="206413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package" Target="embeddings/Microsoft_Excel_Worksheet3.xlsx"/><Relationship Id="rId3" Type="http://schemas.openxmlformats.org/officeDocument/2006/relationships/settings" Target="settings.xml"/><Relationship Id="rId7" Type="http://schemas.openxmlformats.org/officeDocument/2006/relationships/package" Target="embeddings/Microsoft_Excel_Worksheet.xlsx"/><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package" Target="embeddings/Microsoft_Excel_Worksheet2.xlsx"/><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2349</Words>
  <Characters>11372</Characters>
  <Application>Microsoft Office Word</Application>
  <DocSecurity>0</DocSecurity>
  <Lines>247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Devine</dc:creator>
  <cp:keywords/>
  <dc:description/>
  <cp:lastModifiedBy>Don  Farrell</cp:lastModifiedBy>
  <cp:revision>2</cp:revision>
  <dcterms:created xsi:type="dcterms:W3CDTF">2026-04-01T19:01:00Z</dcterms:created>
  <dcterms:modified xsi:type="dcterms:W3CDTF">2026-04-01T19:01:00Z</dcterms:modified>
</cp:coreProperties>
</file>